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53" w:rsidRDefault="00262B53" w:rsidP="00262B53">
      <w:pPr>
        <w:spacing w:after="0"/>
        <w:jc w:val="center"/>
        <w:rPr>
          <w:rFonts w:eastAsia="Times New Roman" w:cs="Times New Roman"/>
          <w:sz w:val="24"/>
          <w:szCs w:val="24"/>
          <w:lang w:eastAsia="cs-CZ"/>
        </w:rPr>
      </w:pPr>
      <w:r>
        <w:rPr>
          <w:rFonts w:eastAsia="Times New Roman" w:cs="Times New Roman"/>
          <w:b/>
          <w:sz w:val="24"/>
          <w:szCs w:val="24"/>
          <w:lang w:eastAsia="cs-CZ"/>
        </w:rPr>
        <w:t>Sdělení</w:t>
      </w:r>
    </w:p>
    <w:p w:rsidR="00262B53" w:rsidRPr="00262B53" w:rsidRDefault="00262B53" w:rsidP="00262B53">
      <w:pPr>
        <w:spacing w:after="0"/>
        <w:jc w:val="both"/>
        <w:rPr>
          <w:rFonts w:eastAsia="Times New Roman" w:cs="Times New Roman"/>
          <w:sz w:val="24"/>
          <w:szCs w:val="24"/>
          <w:lang w:eastAsia="cs-CZ"/>
        </w:rPr>
      </w:pPr>
      <w:r>
        <w:rPr>
          <w:rFonts w:eastAsia="Times New Roman" w:cs="Times New Roman"/>
          <w:sz w:val="24"/>
          <w:szCs w:val="24"/>
          <w:lang w:eastAsia="cs-CZ"/>
        </w:rPr>
        <w:t xml:space="preserve">Debata, která se </w:t>
      </w:r>
      <w:r w:rsidR="0088161D">
        <w:rPr>
          <w:rFonts w:eastAsia="Times New Roman" w:cs="Times New Roman"/>
          <w:sz w:val="24"/>
          <w:szCs w:val="24"/>
          <w:lang w:eastAsia="cs-CZ"/>
        </w:rPr>
        <w:t>široce rozvinula po mém kázání na svátek sv. Václava, pokračuje již sedmý týden a stává se dost nepřehlednou. Diskutovanou otázkou je, zda tvrzení přednesená ve dvanáctiminutovém proslovu v rámci liturgie jsou přemrštěné výmysly a misinterpretace Istanbulské úmluvy nebo jsou důvodná a věcně podložená. K tomu pro vyjasnění a zklidnění debaty mám toto sdělení. Uvedu pouze pro danou otázku relevantní citace, víceméně bez komentářů. Postupovat budu podle pořadí výroků v kázání.</w:t>
      </w:r>
    </w:p>
    <w:p w:rsidR="00262B53" w:rsidRDefault="00262B53" w:rsidP="000B67F1">
      <w:pPr>
        <w:spacing w:after="0"/>
        <w:jc w:val="both"/>
        <w:rPr>
          <w:rFonts w:eastAsia="Times New Roman" w:cs="Times New Roman"/>
          <w:sz w:val="24"/>
          <w:szCs w:val="24"/>
          <w:lang w:eastAsia="cs-CZ"/>
        </w:rPr>
      </w:pPr>
    </w:p>
    <w:p w:rsidR="00262B53" w:rsidRDefault="00262B53" w:rsidP="000B67F1">
      <w:pPr>
        <w:spacing w:after="0"/>
        <w:jc w:val="both"/>
        <w:rPr>
          <w:rFonts w:eastAsia="Times New Roman" w:cs="Times New Roman"/>
          <w:sz w:val="24"/>
          <w:szCs w:val="24"/>
          <w:lang w:eastAsia="cs-CZ"/>
        </w:rPr>
      </w:pPr>
    </w:p>
    <w:p w:rsidR="002B6554" w:rsidRPr="003E62D6" w:rsidRDefault="002B6554" w:rsidP="003E62D6">
      <w:pPr>
        <w:pStyle w:val="Odstavecseseznamem"/>
        <w:numPr>
          <w:ilvl w:val="0"/>
          <w:numId w:val="19"/>
        </w:numPr>
        <w:spacing w:after="0" w:line="240" w:lineRule="auto"/>
        <w:jc w:val="both"/>
        <w:rPr>
          <w:rFonts w:cstheme="minorHAnsi"/>
          <w:b/>
          <w:i/>
          <w:sz w:val="24"/>
          <w:szCs w:val="24"/>
        </w:rPr>
      </w:pPr>
      <w:r w:rsidRPr="003E62D6">
        <w:rPr>
          <w:rFonts w:cstheme="minorHAnsi"/>
          <w:b/>
          <w:i/>
          <w:sz w:val="24"/>
          <w:szCs w:val="24"/>
        </w:rPr>
        <w:t>Vaše rodiny budou roztrženy a rozehnány. Bude k tomu stačit, že dětem řeknete, že muž a žena nejsou totéž.</w:t>
      </w:r>
    </w:p>
    <w:p w:rsidR="002B6554" w:rsidRPr="003E62D6" w:rsidRDefault="002B6554" w:rsidP="003E62D6">
      <w:pPr>
        <w:pStyle w:val="Odstavecseseznamem"/>
        <w:numPr>
          <w:ilvl w:val="0"/>
          <w:numId w:val="19"/>
        </w:numPr>
        <w:spacing w:after="0"/>
        <w:jc w:val="both"/>
        <w:rPr>
          <w:rFonts w:eastAsia="Times New Roman" w:cs="Times New Roman"/>
          <w:b/>
          <w:i/>
          <w:sz w:val="24"/>
          <w:szCs w:val="24"/>
          <w:lang w:eastAsia="cs-CZ"/>
        </w:rPr>
      </w:pPr>
      <w:r w:rsidRPr="003E62D6">
        <w:rPr>
          <w:rFonts w:cstheme="minorHAnsi"/>
          <w:b/>
          <w:i/>
          <w:sz w:val="24"/>
          <w:szCs w:val="24"/>
        </w:rPr>
        <w:t>Vezmou vám děti a zatají vám, kam je zašantročili, kam je prodali, kde je vězní. Postačí k tomu křivé obvinění.</w:t>
      </w:r>
    </w:p>
    <w:p w:rsidR="002B6554" w:rsidRDefault="002B6554" w:rsidP="000B67F1">
      <w:pPr>
        <w:spacing w:after="0"/>
        <w:jc w:val="both"/>
        <w:rPr>
          <w:rFonts w:eastAsia="Times New Roman" w:cs="Times New Roman"/>
          <w:sz w:val="24"/>
          <w:szCs w:val="24"/>
          <w:lang w:eastAsia="cs-CZ"/>
        </w:rPr>
      </w:pPr>
    </w:p>
    <w:p w:rsidR="00930B1A" w:rsidRPr="000B67F1" w:rsidRDefault="00A4717E" w:rsidP="000B67F1">
      <w:pPr>
        <w:spacing w:after="0"/>
        <w:jc w:val="both"/>
        <w:rPr>
          <w:rFonts w:eastAsia="Times New Roman" w:cs="Times New Roman"/>
          <w:b/>
          <w:sz w:val="24"/>
          <w:szCs w:val="24"/>
          <w:lang w:eastAsia="cs-CZ"/>
        </w:rPr>
      </w:pPr>
      <w:r w:rsidRPr="000B67F1">
        <w:rPr>
          <w:rFonts w:eastAsia="Times New Roman" w:cs="Times New Roman"/>
          <w:sz w:val="24"/>
          <w:szCs w:val="24"/>
          <w:lang w:eastAsia="cs-CZ"/>
        </w:rPr>
        <w:t>První dva body kázání vycházejí z čl. 45</w:t>
      </w:r>
      <w:r w:rsidR="000E7CDA" w:rsidRPr="000B67F1">
        <w:rPr>
          <w:rFonts w:eastAsia="Times New Roman" w:cs="Times New Roman"/>
          <w:sz w:val="24"/>
          <w:szCs w:val="24"/>
          <w:lang w:eastAsia="cs-CZ"/>
        </w:rPr>
        <w:t xml:space="preserve"> odst. 3</w:t>
      </w:r>
      <w:r w:rsidRPr="000B67F1">
        <w:rPr>
          <w:rFonts w:eastAsia="Times New Roman" w:cs="Times New Roman"/>
          <w:sz w:val="24"/>
          <w:szCs w:val="24"/>
          <w:lang w:eastAsia="cs-CZ"/>
        </w:rPr>
        <w:t xml:space="preserve"> Úmluvy</w:t>
      </w:r>
      <w:r w:rsidR="000E7CDA" w:rsidRPr="000B67F1">
        <w:rPr>
          <w:rFonts w:eastAsia="Times New Roman" w:cs="Times New Roman"/>
          <w:sz w:val="24"/>
          <w:szCs w:val="24"/>
          <w:lang w:eastAsia="cs-CZ"/>
        </w:rPr>
        <w:t xml:space="preserve">, podle kterého může dojít k odnětí rodičovských práv, je-li to v nejlepším zájmu dítěte. </w:t>
      </w:r>
      <w:r w:rsidR="008B690F">
        <w:rPr>
          <w:rFonts w:eastAsia="Times New Roman" w:cs="Times New Roman"/>
          <w:sz w:val="24"/>
          <w:szCs w:val="24"/>
          <w:lang w:eastAsia="cs-CZ"/>
        </w:rPr>
        <w:t>Ve vztahu</w:t>
      </w:r>
      <w:r w:rsidR="0088161D">
        <w:rPr>
          <w:rFonts w:eastAsia="Times New Roman" w:cs="Times New Roman"/>
          <w:sz w:val="24"/>
          <w:szCs w:val="24"/>
          <w:lang w:eastAsia="cs-CZ"/>
        </w:rPr>
        <w:t xml:space="preserve"> </w:t>
      </w:r>
      <w:r w:rsidR="008B690F">
        <w:rPr>
          <w:rFonts w:eastAsia="Times New Roman" w:cs="Times New Roman"/>
          <w:sz w:val="24"/>
          <w:szCs w:val="24"/>
          <w:lang w:eastAsia="cs-CZ"/>
        </w:rPr>
        <w:t>k</w:t>
      </w:r>
      <w:r w:rsidR="0088161D">
        <w:rPr>
          <w:rFonts w:eastAsia="Times New Roman" w:cs="Times New Roman"/>
          <w:sz w:val="24"/>
          <w:szCs w:val="24"/>
          <w:lang w:eastAsia="cs-CZ"/>
        </w:rPr>
        <w:t xml:space="preserve"> </w:t>
      </w:r>
      <w:r w:rsidR="00930B1A" w:rsidRPr="000B67F1">
        <w:rPr>
          <w:rFonts w:eastAsia="Times New Roman" w:cs="Times New Roman"/>
          <w:sz w:val="24"/>
          <w:szCs w:val="24"/>
          <w:lang w:eastAsia="cs-CZ"/>
        </w:rPr>
        <w:t>genderové ideologii je odebrání dítěte implementováno v již existující kanadské legislativě. Nov</w:t>
      </w:r>
      <w:r w:rsidR="00745066">
        <w:rPr>
          <w:rFonts w:eastAsia="Times New Roman" w:cs="Times New Roman"/>
          <w:sz w:val="24"/>
          <w:szCs w:val="24"/>
          <w:lang w:eastAsia="cs-CZ"/>
        </w:rPr>
        <w:t>ý</w:t>
      </w:r>
      <w:r w:rsidR="00930B1A" w:rsidRPr="000B67F1">
        <w:rPr>
          <w:rFonts w:eastAsia="Times New Roman" w:cs="Times New Roman"/>
          <w:sz w:val="24"/>
          <w:szCs w:val="24"/>
          <w:lang w:eastAsia="cs-CZ"/>
        </w:rPr>
        <w:t xml:space="preserve"> </w:t>
      </w:r>
      <w:r w:rsidR="00745066">
        <w:rPr>
          <w:rFonts w:eastAsia="Times New Roman" w:cs="Times New Roman"/>
          <w:sz w:val="24"/>
          <w:szCs w:val="24"/>
          <w:lang w:eastAsia="cs-CZ"/>
        </w:rPr>
        <w:t>ontarijský zákon</w:t>
      </w:r>
      <w:r w:rsidR="00930B1A" w:rsidRPr="000B67F1">
        <w:rPr>
          <w:rFonts w:eastAsia="Times New Roman" w:cs="Times New Roman"/>
          <w:sz w:val="24"/>
          <w:szCs w:val="24"/>
          <w:lang w:eastAsia="cs-CZ"/>
        </w:rPr>
        <w:t xml:space="preserve"> (</w:t>
      </w:r>
      <w:r w:rsidR="00930B1A" w:rsidRPr="000B67F1">
        <w:rPr>
          <w:rFonts w:eastAsia="Times New Roman" w:cs="Times New Roman"/>
          <w:i/>
          <w:sz w:val="24"/>
          <w:szCs w:val="24"/>
          <w:lang w:eastAsia="cs-CZ"/>
        </w:rPr>
        <w:t>Ontario's Bill 89 - The Supporting Children, Youth and Families Act 74(2), 2017</w:t>
      </w:r>
      <w:r w:rsidR="00930B1A" w:rsidRPr="000B67F1">
        <w:rPr>
          <w:rFonts w:eastAsia="Times New Roman" w:cs="Times New Roman"/>
          <w:sz w:val="24"/>
          <w:szCs w:val="24"/>
          <w:lang w:eastAsia="cs-CZ"/>
        </w:rPr>
        <w:t xml:space="preserve">) umožňuje odebrání dítěte z rodiny, pokud rodiče nebudou respektovat jeho genderovou identitu: „agentury pečující o blaho dítěte“ mohou podle tohoto zákona zasáhnout, pokud dítě trpí sexuálně, fyzicky, nebo je citově zneužíváno, a to včetně „vážných“ psychologických dopadů. Psychologické dopady zahrnují mj. tzv. </w:t>
      </w:r>
      <w:r w:rsidR="00930B1A" w:rsidRPr="00745066">
        <w:rPr>
          <w:rFonts w:eastAsia="Times New Roman" w:cs="Times New Roman"/>
          <w:i/>
          <w:sz w:val="24"/>
          <w:szCs w:val="24"/>
          <w:lang w:eastAsia="cs-CZ"/>
        </w:rPr>
        <w:t>genderovou identitu dítěte</w:t>
      </w:r>
      <w:r w:rsidR="00930B1A" w:rsidRPr="000B67F1">
        <w:rPr>
          <w:rFonts w:eastAsia="Times New Roman" w:cs="Times New Roman"/>
          <w:sz w:val="24"/>
          <w:szCs w:val="24"/>
          <w:lang w:eastAsia="cs-CZ"/>
        </w:rPr>
        <w:t>. Zákon totiž umožňuje odebrání dětí z rodin, které nesouhlasí s LGBTQI či genderovou ideologií</w:t>
      </w:r>
      <w:r w:rsidR="008B690F">
        <w:rPr>
          <w:rFonts w:eastAsia="Times New Roman" w:cs="Times New Roman"/>
          <w:sz w:val="24"/>
          <w:szCs w:val="24"/>
          <w:lang w:eastAsia="cs-CZ"/>
        </w:rPr>
        <w:t>,</w:t>
      </w:r>
      <w:r w:rsidR="00930B1A" w:rsidRPr="000B67F1">
        <w:rPr>
          <w:rFonts w:eastAsia="Times New Roman" w:cs="Times New Roman"/>
          <w:sz w:val="24"/>
          <w:szCs w:val="24"/>
          <w:lang w:eastAsia="cs-CZ"/>
        </w:rPr>
        <w:t xml:space="preserve"> a také umožňuje vládním agenturám, aby jim zamezily v pěstounství či adopci. Oproti původní verzi uvádí „genderovou identitu“ jako jeden z faktorů, který musí být zvažován při posuzování nejlepšího zájmu dítěte. Zároveň dochází k omezení svobody vyznání, víry, ve které rodiče chtějí dítě vychovávat, neboť vládní agentura má přihlížet výlučně k vyznání a víře samotného dítěte. Státní orgány zároveň mohou zahájit hormonální terapii dítěte v rámci „transgenderové zdravotní péče“ i bez souhlasu rodičů.</w:t>
      </w:r>
    </w:p>
    <w:p w:rsidR="008B690F" w:rsidRDefault="00930B1A" w:rsidP="000B67F1">
      <w:pPr>
        <w:spacing w:before="100" w:beforeAutospacing="1" w:after="100" w:afterAutospacing="1"/>
        <w:jc w:val="both"/>
        <w:rPr>
          <w:rFonts w:eastAsia="Times New Roman" w:cs="Times New Roman"/>
          <w:sz w:val="24"/>
          <w:szCs w:val="24"/>
          <w:lang w:eastAsia="cs-CZ"/>
        </w:rPr>
      </w:pPr>
      <w:r w:rsidRPr="000B67F1">
        <w:rPr>
          <w:rFonts w:eastAsia="Times New Roman" w:cs="Times New Roman"/>
          <w:sz w:val="24"/>
          <w:szCs w:val="24"/>
          <w:lang w:eastAsia="cs-CZ"/>
        </w:rPr>
        <w:t xml:space="preserve">Zneužití tzv. „nejlepšího zájmu dítěte“ je v současnosti předmětem kauzy </w:t>
      </w:r>
      <w:r w:rsidRPr="000B67F1">
        <w:rPr>
          <w:rFonts w:eastAsia="Times New Roman" w:cs="Times New Roman"/>
          <w:i/>
          <w:sz w:val="24"/>
          <w:szCs w:val="24"/>
          <w:lang w:eastAsia="cs-CZ"/>
        </w:rPr>
        <w:t xml:space="preserve">Strand Lobben </w:t>
      </w:r>
      <w:r w:rsidRPr="000B67F1">
        <w:rPr>
          <w:rFonts w:eastAsia="Times New Roman" w:cs="Times New Roman"/>
          <w:i/>
          <w:sz w:val="24"/>
          <w:szCs w:val="24"/>
          <w:lang w:eastAsia="cs-CZ"/>
        </w:rPr>
        <w:br/>
        <w:t>a další versus Norsko (č. 37283/13)</w:t>
      </w:r>
      <w:r w:rsidRPr="000B67F1">
        <w:rPr>
          <w:rFonts w:eastAsia="Times New Roman" w:cs="Times New Roman"/>
          <w:sz w:val="24"/>
          <w:szCs w:val="24"/>
          <w:lang w:eastAsia="cs-CZ"/>
        </w:rPr>
        <w:t>, ve které</w:t>
      </w:r>
      <w:r w:rsidRPr="000B67F1">
        <w:rPr>
          <w:rFonts w:eastAsia="Times New Roman" w:cs="Times New Roman"/>
          <w:b/>
          <w:sz w:val="24"/>
          <w:szCs w:val="24"/>
          <w:lang w:eastAsia="cs-CZ"/>
        </w:rPr>
        <w:t xml:space="preserve"> </w:t>
      </w:r>
      <w:r w:rsidRPr="000B67F1">
        <w:rPr>
          <w:rFonts w:eastAsia="Times New Roman" w:cs="Times New Roman"/>
          <w:sz w:val="24"/>
          <w:szCs w:val="24"/>
          <w:lang w:eastAsia="cs-CZ"/>
        </w:rPr>
        <w:t>je norský stát žalován za odebrání novorozeného chlapečka a jeho následnou nucenou adopci. Rodina požádala o přezkum původního velmi těsného rozhodnutí Evropského soudu pro lidská práva (30. 11. 2017 přijali 3 soudci společný disent ve prospěch rodiny proti 4 soudcům hlasujícím v neprospěch rodiny), a to u Velkého senátu.</w:t>
      </w:r>
      <w:r w:rsidRPr="000B67F1">
        <w:rPr>
          <w:rFonts w:eastAsia="Times New Roman" w:cs="Times New Roman"/>
          <w:b/>
          <w:sz w:val="24"/>
          <w:szCs w:val="24"/>
          <w:lang w:eastAsia="cs-CZ"/>
        </w:rPr>
        <w:t xml:space="preserve"> </w:t>
      </w:r>
      <w:r w:rsidRPr="000B67F1">
        <w:rPr>
          <w:rFonts w:eastAsia="Times New Roman" w:cs="Times New Roman"/>
          <w:sz w:val="24"/>
          <w:szCs w:val="24"/>
          <w:lang w:eastAsia="cs-CZ"/>
        </w:rPr>
        <w:t>Podle kritiků se jedná o typický případ sporu mezi právem rodičovským a právem dítěte</w:t>
      </w:r>
      <w:r w:rsidR="008B690F">
        <w:rPr>
          <w:rFonts w:eastAsia="Times New Roman" w:cs="Times New Roman"/>
          <w:sz w:val="24"/>
          <w:szCs w:val="24"/>
          <w:lang w:eastAsia="cs-CZ"/>
        </w:rPr>
        <w:t>.</w:t>
      </w:r>
      <w:r w:rsidRPr="000B67F1">
        <w:rPr>
          <w:rFonts w:eastAsia="Times New Roman" w:cs="Times New Roman"/>
          <w:sz w:val="24"/>
          <w:szCs w:val="24"/>
          <w:lang w:eastAsia="cs-CZ"/>
        </w:rPr>
        <w:t xml:space="preserve"> Nový přístup k dětským právům mění pojetí tradiční rodiny, systém klade důraz na dítě v neprospěch práv rodiny a rodičů. </w:t>
      </w:r>
    </w:p>
    <w:p w:rsidR="00930B1A" w:rsidRPr="000B67F1" w:rsidRDefault="00930B1A" w:rsidP="000B67F1">
      <w:pPr>
        <w:spacing w:before="100" w:beforeAutospacing="1" w:after="100" w:afterAutospacing="1"/>
        <w:jc w:val="both"/>
        <w:rPr>
          <w:rFonts w:eastAsia="Times New Roman" w:cs="Times New Roman"/>
          <w:b/>
          <w:sz w:val="24"/>
          <w:szCs w:val="24"/>
          <w:lang w:eastAsia="cs-CZ"/>
        </w:rPr>
      </w:pPr>
      <w:r w:rsidRPr="000B67F1">
        <w:rPr>
          <w:rFonts w:eastAsia="Times New Roman" w:cs="Times New Roman"/>
          <w:sz w:val="24"/>
          <w:szCs w:val="24"/>
          <w:lang w:eastAsia="cs-CZ"/>
        </w:rPr>
        <w:t xml:space="preserve">Průlomovým rozsudkem, který umožňuje snazší odebrání a následnou adopci v duchu zásady „nejlepšího práva dítěte“ byl případ </w:t>
      </w:r>
      <w:r w:rsidRPr="000B67F1">
        <w:rPr>
          <w:rFonts w:eastAsia="Times New Roman" w:cs="Times New Roman"/>
          <w:i/>
          <w:sz w:val="24"/>
          <w:szCs w:val="24"/>
          <w:lang w:eastAsia="cs-CZ"/>
        </w:rPr>
        <w:t>R and H versus the United Kingdom</w:t>
      </w:r>
      <w:r w:rsidRPr="000B67F1">
        <w:rPr>
          <w:rFonts w:eastAsia="Times New Roman" w:cs="Times New Roman"/>
          <w:sz w:val="24"/>
          <w:szCs w:val="24"/>
          <w:lang w:eastAsia="cs-CZ"/>
        </w:rPr>
        <w:t xml:space="preserve">, kde soud vydal </w:t>
      </w:r>
      <w:r w:rsidRPr="000B67F1">
        <w:rPr>
          <w:rFonts w:eastAsia="Times New Roman" w:cs="Times New Roman"/>
          <w:sz w:val="24"/>
          <w:szCs w:val="24"/>
          <w:lang w:eastAsia="cs-CZ"/>
        </w:rPr>
        <w:lastRenderedPageBreak/>
        <w:t>nález: „Je-li v zájmu dítěte, aby bylo adoptováno, a existuje-li šance na úspěšnou adopci…zájmy biologických rodičů musí být nevyhnutelně upozaděny ve prospěch dítěte.</w:t>
      </w:r>
      <w:r w:rsidR="008B690F">
        <w:rPr>
          <w:rFonts w:eastAsia="Times New Roman" w:cs="Times New Roman"/>
          <w:sz w:val="24"/>
          <w:szCs w:val="24"/>
          <w:lang w:eastAsia="cs-CZ"/>
        </w:rPr>
        <w:t>“</w:t>
      </w:r>
    </w:p>
    <w:p w:rsidR="00930B1A" w:rsidRPr="000B67F1" w:rsidRDefault="00930B1A" w:rsidP="000B67F1">
      <w:pPr>
        <w:jc w:val="both"/>
        <w:rPr>
          <w:rFonts w:eastAsia="Times New Roman" w:cs="Times New Roman"/>
          <w:sz w:val="24"/>
          <w:szCs w:val="24"/>
          <w:lang w:eastAsia="cs-CZ"/>
        </w:rPr>
      </w:pPr>
      <w:r w:rsidRPr="000B67F1">
        <w:rPr>
          <w:rFonts w:eastAsia="Times New Roman" w:cs="Times New Roman"/>
          <w:sz w:val="24"/>
          <w:szCs w:val="24"/>
          <w:lang w:eastAsia="cs-CZ"/>
        </w:rPr>
        <w:t xml:space="preserve">Praktický výkon rozdělení rodin mj. v duchu genderové ideologie v současnosti připouští např. irská státní </w:t>
      </w:r>
      <w:r w:rsidRPr="000B67F1">
        <w:rPr>
          <w:rFonts w:eastAsia="Times New Roman" w:cs="Times New Roman"/>
          <w:i/>
          <w:sz w:val="24"/>
          <w:szCs w:val="24"/>
          <w:lang w:eastAsia="cs-CZ"/>
        </w:rPr>
        <w:t>Child and Family Agency</w:t>
      </w:r>
      <w:r w:rsidR="00B4220A" w:rsidRPr="000B67F1">
        <w:rPr>
          <w:rFonts w:eastAsia="Times New Roman" w:cs="Times New Roman"/>
          <w:sz w:val="24"/>
          <w:szCs w:val="24"/>
          <w:lang w:eastAsia="cs-CZ"/>
        </w:rPr>
        <w:t xml:space="preserve">, jejíž působnost se týká i „genderového násilí“. </w:t>
      </w:r>
    </w:p>
    <w:p w:rsidR="007A3DE7" w:rsidRDefault="00B4220A" w:rsidP="002A6997">
      <w:pPr>
        <w:pStyle w:val="Textpoznpodarou"/>
        <w:spacing w:line="276" w:lineRule="auto"/>
        <w:jc w:val="both"/>
        <w:rPr>
          <w:rFonts w:eastAsia="Times New Roman" w:cs="Times New Roman"/>
          <w:sz w:val="24"/>
          <w:szCs w:val="24"/>
          <w:lang w:eastAsia="cs-CZ"/>
        </w:rPr>
      </w:pPr>
      <w:r w:rsidRPr="000B67F1">
        <w:rPr>
          <w:rFonts w:eastAsia="Times New Roman" w:cs="Times New Roman"/>
          <w:sz w:val="24"/>
          <w:szCs w:val="24"/>
          <w:lang w:eastAsia="cs-CZ"/>
        </w:rPr>
        <w:t xml:space="preserve">Ministerstvo dětí kanadského státu Ontario ve své </w:t>
      </w:r>
      <w:r w:rsidRPr="008B690F">
        <w:rPr>
          <w:rFonts w:eastAsia="Times New Roman" w:cs="Times New Roman"/>
          <w:sz w:val="24"/>
          <w:szCs w:val="24"/>
          <w:lang w:eastAsia="cs-CZ"/>
        </w:rPr>
        <w:t>publikaci</w:t>
      </w:r>
      <w:r w:rsidR="008B690F" w:rsidRPr="008B690F">
        <w:rPr>
          <w:sz w:val="24"/>
          <w:szCs w:val="24"/>
        </w:rPr>
        <w:t xml:space="preserve"> (Ministry of Children and Youth Services: Child Welfare Secretariat: Serving LGBT2SQ Children and Youth in the Child Welfare Systém: A Resource Guide. Ontario)</w:t>
      </w:r>
      <w:r w:rsidRPr="000B67F1">
        <w:rPr>
          <w:rFonts w:eastAsia="Times New Roman" w:cs="Times New Roman"/>
          <w:sz w:val="24"/>
          <w:szCs w:val="24"/>
          <w:lang w:eastAsia="cs-CZ"/>
        </w:rPr>
        <w:t xml:space="preserve"> výslovně uvádí, že sociální pracovníci mohou při rozhodování o odebrání dítěte zahrnout do úvahy </w:t>
      </w:r>
      <w:r w:rsidRPr="000B67F1">
        <w:rPr>
          <w:rFonts w:eastAsia="Times New Roman" w:cs="Times New Roman"/>
          <w:i/>
          <w:sz w:val="24"/>
          <w:szCs w:val="24"/>
          <w:lang w:eastAsia="cs-CZ"/>
        </w:rPr>
        <w:t xml:space="preserve">reakce rodičů na genderovou identitu dítěte. </w:t>
      </w:r>
      <w:r w:rsidRPr="000B67F1">
        <w:rPr>
          <w:rFonts w:eastAsia="Times New Roman" w:cs="Times New Roman"/>
          <w:sz w:val="24"/>
          <w:szCs w:val="24"/>
          <w:lang w:eastAsia="cs-CZ"/>
        </w:rPr>
        <w:t>Za špatné chování r</w:t>
      </w:r>
      <w:r w:rsidR="004B7065" w:rsidRPr="000B67F1">
        <w:rPr>
          <w:rFonts w:eastAsia="Times New Roman" w:cs="Times New Roman"/>
          <w:sz w:val="24"/>
          <w:szCs w:val="24"/>
          <w:lang w:eastAsia="cs-CZ"/>
        </w:rPr>
        <w:t>odiny je např. považováno</w:t>
      </w:r>
      <w:r w:rsidRPr="000B67F1">
        <w:rPr>
          <w:rFonts w:eastAsia="Times New Roman" w:cs="Times New Roman"/>
          <w:sz w:val="24"/>
          <w:szCs w:val="24"/>
          <w:lang w:eastAsia="cs-CZ"/>
        </w:rPr>
        <w:t xml:space="preserve"> </w:t>
      </w:r>
      <w:r w:rsidRPr="000B67F1">
        <w:rPr>
          <w:i/>
          <w:sz w:val="24"/>
          <w:szCs w:val="24"/>
        </w:rPr>
        <w:t xml:space="preserve">zakazování oblékání, péče o vlasy nebo vyjádření svého pohlaví způsobem, který je v souladu s jejich </w:t>
      </w:r>
      <w:r w:rsidR="004B7065" w:rsidRPr="000B67F1">
        <w:rPr>
          <w:sz w:val="24"/>
          <w:szCs w:val="24"/>
        </w:rPr>
        <w:t xml:space="preserve">[dítěte] </w:t>
      </w:r>
      <w:r w:rsidRPr="000B67F1">
        <w:rPr>
          <w:i/>
          <w:sz w:val="24"/>
          <w:szCs w:val="24"/>
        </w:rPr>
        <w:t>genderovou identitou;</w:t>
      </w:r>
      <w:r w:rsidRPr="000B67F1">
        <w:rPr>
          <w:rFonts w:eastAsia="Times New Roman" w:cs="Times New Roman"/>
          <w:i/>
          <w:sz w:val="24"/>
          <w:szCs w:val="24"/>
          <w:lang w:eastAsia="cs-CZ"/>
        </w:rPr>
        <w:t xml:space="preserve"> </w:t>
      </w:r>
      <w:r w:rsidR="004B7065" w:rsidRPr="000B67F1">
        <w:rPr>
          <w:rFonts w:eastAsia="Times New Roman" w:cs="Times New Roman"/>
          <w:i/>
          <w:sz w:val="24"/>
          <w:szCs w:val="24"/>
          <w:lang w:eastAsia="cs-CZ"/>
        </w:rPr>
        <w:t xml:space="preserve">odmítnutí používání jména, které si transgender dítě zvolilo či odmítnutí používat genderová zájmena. </w:t>
      </w:r>
      <w:r w:rsidR="004B7065" w:rsidRPr="000B67F1">
        <w:rPr>
          <w:rFonts w:eastAsia="Times New Roman" w:cs="Times New Roman"/>
          <w:sz w:val="24"/>
          <w:szCs w:val="24"/>
          <w:lang w:eastAsia="cs-CZ"/>
        </w:rPr>
        <w:t>Pokud bude rozhodnuto o odebrání dítěte rodičům, pak má být dítě umístěno do rodiny, ve které bude jeho LGBT2SQ identita více podporována. Min</w:t>
      </w:r>
      <w:r w:rsidR="008B690F">
        <w:rPr>
          <w:rFonts w:eastAsia="Times New Roman" w:cs="Times New Roman"/>
          <w:sz w:val="24"/>
          <w:szCs w:val="24"/>
          <w:lang w:eastAsia="cs-CZ"/>
        </w:rPr>
        <w:t>is</w:t>
      </w:r>
      <w:r w:rsidR="004B7065" w:rsidRPr="000B67F1">
        <w:rPr>
          <w:rFonts w:eastAsia="Times New Roman" w:cs="Times New Roman"/>
          <w:sz w:val="24"/>
          <w:szCs w:val="24"/>
          <w:lang w:eastAsia="cs-CZ"/>
        </w:rPr>
        <w:t>terstvo dále prosazuje tzv. „inkluzivní jazyk“, tedy nahrazení „úzkého označení matka a otec“</w:t>
      </w:r>
      <w:r w:rsidR="008B690F">
        <w:rPr>
          <w:rFonts w:eastAsia="Times New Roman" w:cs="Times New Roman"/>
          <w:sz w:val="24"/>
          <w:szCs w:val="24"/>
          <w:lang w:eastAsia="cs-CZ"/>
        </w:rPr>
        <w:t xml:space="preserve"> </w:t>
      </w:r>
      <w:r w:rsidR="004B7065" w:rsidRPr="000B67F1">
        <w:rPr>
          <w:rFonts w:eastAsia="Times New Roman" w:cs="Times New Roman"/>
          <w:sz w:val="24"/>
          <w:szCs w:val="24"/>
          <w:lang w:eastAsia="cs-CZ"/>
        </w:rPr>
        <w:t xml:space="preserve">označením „rodič 1, rodič 2 a rodič 3“. V úředních formulářích by pak podle příručky měl být dotaz nejen na jméno (Legal name), ale také za zvolené jméno (Chosen name) dítěte. </w:t>
      </w:r>
    </w:p>
    <w:p w:rsidR="00903056" w:rsidRPr="008B690F" w:rsidRDefault="00903056" w:rsidP="002A6997">
      <w:pPr>
        <w:jc w:val="both"/>
        <w:rPr>
          <w:rFonts w:eastAsia="Times New Roman" w:cs="Times New Roman"/>
          <w:sz w:val="24"/>
          <w:szCs w:val="24"/>
          <w:lang w:eastAsia="cs-CZ"/>
        </w:rPr>
      </w:pPr>
      <w:r w:rsidRPr="008B690F">
        <w:rPr>
          <w:rFonts w:eastAsia="Times New Roman" w:cs="Times New Roman"/>
          <w:sz w:val="24"/>
          <w:szCs w:val="24"/>
          <w:lang w:eastAsia="cs-CZ"/>
        </w:rPr>
        <w:t>Odebrání dítěte je tedy Úmluvou umožněno, vzhledem k snaze zamezit v některých případech jakémukoli kontaktu dítěte a rodiče je logické, že rodič o dítěti a jeho umístění nebude informován.</w:t>
      </w:r>
    </w:p>
    <w:p w:rsidR="004D5A6F" w:rsidRDefault="004D5A6F" w:rsidP="000B67F1">
      <w:pPr>
        <w:jc w:val="both"/>
        <w:rPr>
          <w:rFonts w:eastAsia="Times New Roman" w:cs="Times New Roman"/>
          <w:sz w:val="24"/>
          <w:szCs w:val="24"/>
          <w:lang w:eastAsia="cs-CZ"/>
        </w:rPr>
      </w:pPr>
    </w:p>
    <w:p w:rsidR="002B6554" w:rsidRPr="003E62D6" w:rsidRDefault="002B6554" w:rsidP="003E62D6">
      <w:pPr>
        <w:pStyle w:val="Odstavecseseznamem"/>
        <w:numPr>
          <w:ilvl w:val="0"/>
          <w:numId w:val="20"/>
        </w:numPr>
        <w:spacing w:after="0" w:line="240" w:lineRule="auto"/>
        <w:jc w:val="both"/>
        <w:rPr>
          <w:rFonts w:cstheme="minorHAnsi"/>
          <w:b/>
          <w:i/>
          <w:sz w:val="24"/>
          <w:szCs w:val="24"/>
        </w:rPr>
      </w:pPr>
      <w:r w:rsidRPr="003E62D6">
        <w:rPr>
          <w:rFonts w:cstheme="minorHAnsi"/>
          <w:b/>
          <w:i/>
          <w:sz w:val="24"/>
          <w:szCs w:val="24"/>
        </w:rPr>
        <w:t>Určení pohlaví vašich novorozenců podle pohledu do jejich klína bude zrušeno.</w:t>
      </w:r>
    </w:p>
    <w:p w:rsidR="002B6554" w:rsidRPr="003E62D6" w:rsidRDefault="003E62D6" w:rsidP="003E62D6">
      <w:pPr>
        <w:pStyle w:val="Odstavecseseznamem"/>
        <w:numPr>
          <w:ilvl w:val="0"/>
          <w:numId w:val="20"/>
        </w:numPr>
        <w:spacing w:after="0"/>
        <w:jc w:val="both"/>
        <w:rPr>
          <w:rFonts w:cstheme="minorHAnsi"/>
          <w:b/>
          <w:i/>
          <w:sz w:val="24"/>
          <w:szCs w:val="24"/>
        </w:rPr>
      </w:pPr>
      <w:r w:rsidRPr="003E62D6">
        <w:rPr>
          <w:rFonts w:cstheme="minorHAnsi"/>
          <w:b/>
          <w:i/>
          <w:sz w:val="24"/>
          <w:szCs w:val="24"/>
        </w:rPr>
        <w:t xml:space="preserve">O </w:t>
      </w:r>
      <w:r w:rsidR="002B6554" w:rsidRPr="003E62D6">
        <w:rPr>
          <w:rFonts w:cstheme="minorHAnsi"/>
          <w:b/>
          <w:i/>
          <w:sz w:val="24"/>
          <w:szCs w:val="24"/>
        </w:rPr>
        <w:t>svém pohlaví rozhodne dítě samo, a proto budete povinni je vychovávat bezpohlavně a potažmo mu nebudete moct dát ani jméno</w:t>
      </w:r>
      <w:r w:rsidR="002B6554" w:rsidRPr="003E62D6">
        <w:rPr>
          <w:rFonts w:cstheme="minorHAnsi"/>
          <w:b/>
          <w:i/>
          <w:sz w:val="24"/>
          <w:szCs w:val="24"/>
        </w:rPr>
        <w:t>.</w:t>
      </w:r>
    </w:p>
    <w:p w:rsidR="002B6554" w:rsidRPr="002B6554" w:rsidRDefault="002B6554" w:rsidP="002B6554">
      <w:pPr>
        <w:spacing w:after="0"/>
        <w:jc w:val="both"/>
        <w:rPr>
          <w:rFonts w:cstheme="minorHAnsi"/>
          <w:sz w:val="28"/>
          <w:szCs w:val="28"/>
        </w:rPr>
      </w:pPr>
    </w:p>
    <w:p w:rsidR="00A4717E" w:rsidRPr="000B67F1" w:rsidRDefault="008B690F" w:rsidP="000B67F1">
      <w:pPr>
        <w:jc w:val="both"/>
        <w:rPr>
          <w:sz w:val="24"/>
          <w:szCs w:val="24"/>
        </w:rPr>
      </w:pPr>
      <w:r>
        <w:rPr>
          <w:rFonts w:eastAsia="Times New Roman" w:cs="Times New Roman"/>
          <w:sz w:val="24"/>
          <w:szCs w:val="24"/>
          <w:lang w:eastAsia="cs-CZ"/>
        </w:rPr>
        <w:t xml:space="preserve">Třetí </w:t>
      </w:r>
      <w:r w:rsidR="004D5A6F">
        <w:rPr>
          <w:rFonts w:eastAsia="Times New Roman" w:cs="Times New Roman"/>
          <w:sz w:val="24"/>
          <w:szCs w:val="24"/>
          <w:lang w:eastAsia="cs-CZ"/>
        </w:rPr>
        <w:t xml:space="preserve">a čtvrtý </w:t>
      </w:r>
      <w:r>
        <w:rPr>
          <w:rFonts w:eastAsia="Times New Roman" w:cs="Times New Roman"/>
          <w:sz w:val="24"/>
          <w:szCs w:val="24"/>
          <w:lang w:eastAsia="cs-CZ"/>
        </w:rPr>
        <w:t>bod vycház</w:t>
      </w:r>
      <w:r w:rsidR="004D5A6F">
        <w:rPr>
          <w:rFonts w:eastAsia="Times New Roman" w:cs="Times New Roman"/>
          <w:sz w:val="24"/>
          <w:szCs w:val="24"/>
          <w:lang w:eastAsia="cs-CZ"/>
        </w:rPr>
        <w:t>ejí</w:t>
      </w:r>
      <w:r>
        <w:rPr>
          <w:rFonts w:eastAsia="Times New Roman" w:cs="Times New Roman"/>
          <w:sz w:val="24"/>
          <w:szCs w:val="24"/>
          <w:lang w:eastAsia="cs-CZ"/>
        </w:rPr>
        <w:t xml:space="preserve"> z r</w:t>
      </w:r>
      <w:r w:rsidR="007A3DE7" w:rsidRPr="000B67F1">
        <w:rPr>
          <w:rFonts w:eastAsia="Times New Roman" w:cs="Times New Roman"/>
          <w:sz w:val="24"/>
          <w:szCs w:val="24"/>
          <w:lang w:eastAsia="cs-CZ"/>
        </w:rPr>
        <w:t>ozšíření základní binární kategorie (muž/žena) na prakticky neomezený počet jiných kategorií</w:t>
      </w:r>
      <w:r>
        <w:rPr>
          <w:rFonts w:eastAsia="Times New Roman" w:cs="Times New Roman"/>
          <w:sz w:val="24"/>
          <w:szCs w:val="24"/>
          <w:lang w:eastAsia="cs-CZ"/>
        </w:rPr>
        <w:t>, který</w:t>
      </w:r>
      <w:r w:rsidR="007A3DE7" w:rsidRPr="000B67F1">
        <w:rPr>
          <w:rFonts w:eastAsia="Times New Roman" w:cs="Times New Roman"/>
          <w:sz w:val="24"/>
          <w:szCs w:val="24"/>
          <w:lang w:eastAsia="cs-CZ"/>
        </w:rPr>
        <w:t xml:space="preserve"> je obsažen ve </w:t>
      </w:r>
      <w:r w:rsidR="007A3DE7" w:rsidRPr="000B67F1">
        <w:rPr>
          <w:sz w:val="24"/>
          <w:szCs w:val="24"/>
        </w:rPr>
        <w:t>v</w:t>
      </w:r>
      <w:r w:rsidR="00ED7B1D" w:rsidRPr="000B67F1">
        <w:rPr>
          <w:sz w:val="24"/>
          <w:szCs w:val="24"/>
        </w:rPr>
        <w:t>ýklad</w:t>
      </w:r>
      <w:r>
        <w:rPr>
          <w:sz w:val="24"/>
          <w:szCs w:val="24"/>
        </w:rPr>
        <w:t>u</w:t>
      </w:r>
      <w:r w:rsidR="00ED7B1D" w:rsidRPr="000B67F1">
        <w:rPr>
          <w:sz w:val="24"/>
          <w:szCs w:val="24"/>
        </w:rPr>
        <w:t xml:space="preserve"> k</w:t>
      </w:r>
      <w:r w:rsidR="007A3DE7" w:rsidRPr="000B67F1">
        <w:rPr>
          <w:sz w:val="24"/>
          <w:szCs w:val="24"/>
        </w:rPr>
        <w:t> </w:t>
      </w:r>
      <w:r w:rsidR="00ED7B1D" w:rsidRPr="000B67F1">
        <w:rPr>
          <w:sz w:val="24"/>
          <w:szCs w:val="24"/>
        </w:rPr>
        <w:t>odst</w:t>
      </w:r>
      <w:r w:rsidR="007A3DE7" w:rsidRPr="000B67F1">
        <w:rPr>
          <w:sz w:val="24"/>
          <w:szCs w:val="24"/>
        </w:rPr>
        <w:t xml:space="preserve">avci č. 53 Istanbulské úmluvy, jenž vymezuje </w:t>
      </w:r>
      <w:r w:rsidR="00ED7B1D" w:rsidRPr="000B67F1">
        <w:rPr>
          <w:i/>
          <w:sz w:val="24"/>
          <w:szCs w:val="24"/>
        </w:rPr>
        <w:t>kategorie</w:t>
      </w:r>
      <w:r>
        <w:rPr>
          <w:i/>
          <w:sz w:val="24"/>
          <w:szCs w:val="24"/>
        </w:rPr>
        <w:t xml:space="preserve"> </w:t>
      </w:r>
      <w:r w:rsidR="00ED7B1D" w:rsidRPr="000B67F1">
        <w:rPr>
          <w:i/>
          <w:sz w:val="24"/>
          <w:szCs w:val="24"/>
        </w:rPr>
        <w:t>jedinců</w:t>
      </w:r>
      <w:r w:rsidR="00903056">
        <w:rPr>
          <w:i/>
          <w:sz w:val="24"/>
          <w:szCs w:val="24"/>
        </w:rPr>
        <w:t>,</w:t>
      </w:r>
      <w:r w:rsidR="00ED7B1D" w:rsidRPr="000B67F1">
        <w:rPr>
          <w:i/>
          <w:sz w:val="24"/>
          <w:szCs w:val="24"/>
        </w:rPr>
        <w:t xml:space="preserve"> jako jsou transgenderové či transsexuální osoby, crossdresserové, transvestité a další skupiny lidí, které nekorespondují s tím, co společnost zařazuje do kategorie „muž“ nebo „žena“. </w:t>
      </w:r>
    </w:p>
    <w:p w:rsidR="00903056" w:rsidRDefault="002E4CA6" w:rsidP="000B67F1">
      <w:pPr>
        <w:pStyle w:val="Default"/>
        <w:spacing w:after="120" w:line="276" w:lineRule="auto"/>
        <w:jc w:val="both"/>
        <w:rPr>
          <w:rFonts w:asciiTheme="minorHAnsi" w:hAnsiTheme="minorHAnsi"/>
          <w:color w:val="auto"/>
        </w:rPr>
      </w:pPr>
      <w:r w:rsidRPr="000B67F1">
        <w:rPr>
          <w:rFonts w:asciiTheme="minorHAnsi" w:hAnsiTheme="minorHAnsi"/>
          <w:color w:val="auto"/>
        </w:rPr>
        <w:t xml:space="preserve">Úmluva dále požaduje osvětové kampaně a programy na všech úrovních“ mj. ve </w:t>
      </w:r>
      <w:r w:rsidRPr="000B67F1">
        <w:rPr>
          <w:rFonts w:asciiTheme="minorHAnsi" w:hAnsiTheme="minorHAnsi"/>
          <w:b/>
          <w:color w:val="auto"/>
        </w:rPr>
        <w:t xml:space="preserve">spolupráci s nevládními organizacemi </w:t>
      </w:r>
      <w:r w:rsidRPr="000B67F1">
        <w:rPr>
          <w:rFonts w:asciiTheme="minorHAnsi" w:hAnsiTheme="minorHAnsi"/>
          <w:color w:val="auto"/>
        </w:rPr>
        <w:t xml:space="preserve">a </w:t>
      </w:r>
      <w:r w:rsidRPr="000B67F1">
        <w:rPr>
          <w:rFonts w:asciiTheme="minorHAnsi" w:hAnsiTheme="minorHAnsi"/>
          <w:b/>
          <w:color w:val="auto"/>
        </w:rPr>
        <w:t xml:space="preserve">úpravu učebních osnov tak, aby zahrnovaly </w:t>
      </w:r>
      <w:r w:rsidRPr="000B67F1">
        <w:rPr>
          <w:rFonts w:asciiTheme="minorHAnsi" w:hAnsiTheme="minorHAnsi"/>
          <w:color w:val="auto"/>
        </w:rPr>
        <w:t xml:space="preserve">téma „nestereotypní genderové role“ či „právo na osobní integritu“. Podle </w:t>
      </w:r>
      <w:r w:rsidRPr="000B67F1">
        <w:rPr>
          <w:rFonts w:asciiTheme="minorHAnsi" w:hAnsiTheme="minorHAnsi"/>
          <w:b/>
          <w:color w:val="auto"/>
        </w:rPr>
        <w:t xml:space="preserve">rezoluce </w:t>
      </w:r>
      <w:r w:rsidRPr="000B67F1">
        <w:rPr>
          <w:rFonts w:asciiTheme="minorHAnsi" w:hAnsiTheme="minorHAnsi"/>
          <w:b/>
          <w:i/>
          <w:color w:val="auto"/>
        </w:rPr>
        <w:t xml:space="preserve">o odstranění genderových stereotypů v EU </w:t>
      </w:r>
      <w:r w:rsidRPr="000B67F1">
        <w:rPr>
          <w:rFonts w:asciiTheme="minorHAnsi" w:hAnsiTheme="minorHAnsi"/>
          <w:b/>
          <w:color w:val="auto"/>
        </w:rPr>
        <w:t xml:space="preserve">z března 2013 </w:t>
      </w:r>
      <w:r w:rsidRPr="000B67F1">
        <w:rPr>
          <w:rFonts w:asciiTheme="minorHAnsi" w:hAnsiTheme="minorHAnsi"/>
          <w:color w:val="auto"/>
        </w:rPr>
        <w:t xml:space="preserve">je </w:t>
      </w:r>
    </w:p>
    <w:p w:rsidR="00903056" w:rsidRDefault="002E4CA6" w:rsidP="00903056">
      <w:pPr>
        <w:pStyle w:val="Default"/>
        <w:numPr>
          <w:ilvl w:val="0"/>
          <w:numId w:val="13"/>
        </w:numPr>
        <w:spacing w:after="120" w:line="276" w:lineRule="auto"/>
        <w:jc w:val="both"/>
        <w:rPr>
          <w:rFonts w:asciiTheme="minorHAnsi" w:hAnsiTheme="minorHAnsi"/>
          <w:color w:val="auto"/>
        </w:rPr>
      </w:pPr>
      <w:r w:rsidRPr="000B67F1">
        <w:rPr>
          <w:rFonts w:asciiTheme="minorHAnsi" w:hAnsiTheme="minorHAnsi"/>
          <w:color w:val="auto"/>
        </w:rPr>
        <w:t>nezbytné omezit vystavování dětí genderovým stereotypům</w:t>
      </w:r>
      <w:r w:rsidR="00903056">
        <w:rPr>
          <w:rFonts w:asciiTheme="minorHAnsi" w:hAnsiTheme="minorHAnsi"/>
          <w:color w:val="auto"/>
        </w:rPr>
        <w:t>;</w:t>
      </w:r>
      <w:r w:rsidRPr="000B67F1">
        <w:rPr>
          <w:rFonts w:asciiTheme="minorHAnsi" w:hAnsiTheme="minorHAnsi"/>
          <w:color w:val="auto"/>
        </w:rPr>
        <w:t xml:space="preserve"> </w:t>
      </w:r>
    </w:p>
    <w:p w:rsidR="00903056" w:rsidRDefault="002E4CA6" w:rsidP="00903056">
      <w:pPr>
        <w:pStyle w:val="Default"/>
        <w:numPr>
          <w:ilvl w:val="0"/>
          <w:numId w:val="13"/>
        </w:numPr>
        <w:spacing w:after="120" w:line="276" w:lineRule="auto"/>
        <w:jc w:val="both"/>
        <w:rPr>
          <w:rFonts w:asciiTheme="minorHAnsi" w:hAnsiTheme="minorHAnsi"/>
          <w:color w:val="auto"/>
        </w:rPr>
      </w:pPr>
      <w:r w:rsidRPr="000B67F1">
        <w:rPr>
          <w:rFonts w:asciiTheme="minorHAnsi" w:hAnsiTheme="minorHAnsi"/>
          <w:color w:val="auto"/>
        </w:rPr>
        <w:t>nezbytné začleňovat problematiku genderu do škol</w:t>
      </w:r>
      <w:r w:rsidR="00903056">
        <w:rPr>
          <w:rFonts w:asciiTheme="minorHAnsi" w:hAnsiTheme="minorHAnsi"/>
          <w:color w:val="auto"/>
        </w:rPr>
        <w:t>;</w:t>
      </w:r>
      <w:r w:rsidRPr="000B67F1">
        <w:rPr>
          <w:rFonts w:asciiTheme="minorHAnsi" w:hAnsiTheme="minorHAnsi"/>
          <w:color w:val="auto"/>
        </w:rPr>
        <w:t xml:space="preserve"> </w:t>
      </w:r>
    </w:p>
    <w:p w:rsidR="00903056" w:rsidRDefault="002E4CA6" w:rsidP="00903056">
      <w:pPr>
        <w:pStyle w:val="Default"/>
        <w:numPr>
          <w:ilvl w:val="0"/>
          <w:numId w:val="13"/>
        </w:numPr>
        <w:spacing w:after="120" w:line="276" w:lineRule="auto"/>
        <w:jc w:val="both"/>
        <w:rPr>
          <w:rFonts w:asciiTheme="minorHAnsi" w:hAnsiTheme="minorHAnsi"/>
          <w:color w:val="auto"/>
        </w:rPr>
      </w:pPr>
      <w:r w:rsidRPr="000B67F1">
        <w:rPr>
          <w:rFonts w:asciiTheme="minorHAnsi" w:hAnsiTheme="minorHAnsi"/>
          <w:color w:val="auto"/>
        </w:rPr>
        <w:t>vypracovat politiky zaměřené na odstraňování genderových stereotypů od nejútlejšího věku</w:t>
      </w:r>
      <w:r w:rsidR="00903056">
        <w:rPr>
          <w:rFonts w:asciiTheme="minorHAnsi" w:hAnsiTheme="minorHAnsi"/>
          <w:color w:val="auto"/>
        </w:rPr>
        <w:t>;</w:t>
      </w:r>
    </w:p>
    <w:p w:rsidR="002E4CA6" w:rsidRPr="000B67F1" w:rsidRDefault="002E4CA6" w:rsidP="00903056">
      <w:pPr>
        <w:pStyle w:val="Default"/>
        <w:numPr>
          <w:ilvl w:val="0"/>
          <w:numId w:val="13"/>
        </w:numPr>
        <w:spacing w:after="120" w:line="276" w:lineRule="auto"/>
        <w:jc w:val="both"/>
        <w:rPr>
          <w:rFonts w:asciiTheme="minorHAnsi" w:hAnsiTheme="minorHAnsi"/>
          <w:color w:val="auto"/>
        </w:rPr>
      </w:pPr>
      <w:r w:rsidRPr="000B67F1">
        <w:rPr>
          <w:rFonts w:asciiTheme="minorHAnsi" w:hAnsiTheme="minorHAnsi"/>
          <w:color w:val="auto"/>
        </w:rPr>
        <w:lastRenderedPageBreak/>
        <w:t>je třeba</w:t>
      </w:r>
      <w:r w:rsidR="00903056">
        <w:rPr>
          <w:rFonts w:asciiTheme="minorHAnsi" w:hAnsiTheme="minorHAnsi"/>
          <w:color w:val="auto"/>
        </w:rPr>
        <w:t xml:space="preserve"> </w:t>
      </w:r>
      <w:r w:rsidR="00903056" w:rsidRPr="000B67F1">
        <w:rPr>
          <w:rFonts w:asciiTheme="minorHAnsi" w:hAnsiTheme="minorHAnsi"/>
          <w:color w:val="auto"/>
        </w:rPr>
        <w:t>na školách všech stupňů</w:t>
      </w:r>
      <w:r w:rsidRPr="000B67F1">
        <w:rPr>
          <w:rFonts w:asciiTheme="minorHAnsi" w:hAnsiTheme="minorHAnsi"/>
          <w:color w:val="auto"/>
        </w:rPr>
        <w:t xml:space="preserve"> „zavést zvláštní kurzy zaměřené na profesní poradenství s cílem informovat mladé lidi o negativních důsledcích genderových stereotypů a povzbudit je, aby se studiem připravovali na povolání, která byla v minulosti považována za typicky mužská nebo ženská, a aby se pro taková povolání rozhodovali, neboť </w:t>
      </w:r>
      <w:r w:rsidRPr="000B67F1">
        <w:rPr>
          <w:rFonts w:asciiTheme="minorHAnsi" w:hAnsiTheme="minorHAnsi"/>
          <w:i/>
          <w:color w:val="auto"/>
        </w:rPr>
        <w:t>„stále přetrvávají stereotypy ovlivňující naše vnímaní druhých prostřednictvím příliš zjednodušujících předpokladů založených na normách, zvyklostech a přesvědčeních, které jsou sociálními konstrukty, často kulturně a nábožensky podmíněnými a udržovanými, a které vedou k zachování existujících mocenských vztahů.“</w:t>
      </w:r>
      <w:r w:rsidR="00046E69" w:rsidRPr="000B67F1">
        <w:rPr>
          <w:rFonts w:asciiTheme="minorHAnsi" w:hAnsiTheme="minorHAnsi"/>
          <w:color w:val="auto"/>
        </w:rPr>
        <w:t xml:space="preserve"> </w:t>
      </w:r>
      <w:r w:rsidRPr="000B67F1">
        <w:rPr>
          <w:rFonts w:asciiTheme="minorHAnsi" w:hAnsiTheme="minorHAnsi"/>
          <w:color w:val="auto"/>
        </w:rPr>
        <w:t xml:space="preserve">  </w:t>
      </w:r>
    </w:p>
    <w:p w:rsidR="008172BE" w:rsidRPr="000B67F1" w:rsidRDefault="008172BE" w:rsidP="006B64AE">
      <w:pPr>
        <w:autoSpaceDE w:val="0"/>
        <w:autoSpaceDN w:val="0"/>
        <w:adjustRightInd w:val="0"/>
        <w:spacing w:after="0"/>
        <w:jc w:val="both"/>
        <w:rPr>
          <w:rFonts w:eastAsia="Times New Roman" w:cs="Arial"/>
          <w:sz w:val="24"/>
          <w:szCs w:val="24"/>
          <w:lang w:eastAsia="cs-CZ"/>
        </w:rPr>
      </w:pPr>
      <w:r w:rsidRPr="000B67F1">
        <w:rPr>
          <w:rFonts w:cs="Arial"/>
          <w:sz w:val="24"/>
          <w:szCs w:val="24"/>
        </w:rPr>
        <w:t xml:space="preserve">Úmluva odkazuje na deklaraci </w:t>
      </w:r>
      <w:r w:rsidRPr="000B67F1">
        <w:rPr>
          <w:rFonts w:cs="Arial"/>
          <w:i/>
          <w:sz w:val="24"/>
          <w:szCs w:val="24"/>
        </w:rPr>
        <w:t xml:space="preserve">“Making gender equality a reality” </w:t>
      </w:r>
      <w:r w:rsidRPr="000B67F1">
        <w:rPr>
          <w:rFonts w:cs="Arial"/>
          <w:sz w:val="24"/>
          <w:szCs w:val="24"/>
        </w:rPr>
        <w:t>přijatou Výborem ministrů rady Evropy</w:t>
      </w:r>
      <w:r w:rsidR="006B64AE">
        <w:rPr>
          <w:rFonts w:cs="Arial"/>
          <w:sz w:val="24"/>
          <w:szCs w:val="24"/>
        </w:rPr>
        <w:t xml:space="preserve"> </w:t>
      </w:r>
      <w:r w:rsidR="006B64AE" w:rsidRPr="006B64AE">
        <w:rPr>
          <w:rFonts w:cs="Arial"/>
          <w:sz w:val="24"/>
          <w:szCs w:val="24"/>
        </w:rPr>
        <w:t>(</w:t>
      </w:r>
      <w:r w:rsidR="006B64AE" w:rsidRPr="006B64AE">
        <w:rPr>
          <w:sz w:val="24"/>
          <w:szCs w:val="24"/>
        </w:rPr>
        <w:t xml:space="preserve">Madrid, 12 May 2009; </w:t>
      </w:r>
      <w:hyperlink r:id="rId8" w:history="1">
        <w:r w:rsidR="006B64AE" w:rsidRPr="006B64AE">
          <w:rPr>
            <w:sz w:val="24"/>
            <w:szCs w:val="24"/>
          </w:rPr>
          <w:t>https://rm.coe.int/strategy-en-2018-2023/16807b58eb</w:t>
        </w:r>
      </w:hyperlink>
      <w:r w:rsidR="006B64AE" w:rsidRPr="006B64AE">
        <w:rPr>
          <w:sz w:val="24"/>
          <w:szCs w:val="24"/>
        </w:rPr>
        <w:t>)</w:t>
      </w:r>
      <w:r w:rsidR="006B64AE">
        <w:rPr>
          <w:sz w:val="24"/>
          <w:szCs w:val="24"/>
        </w:rPr>
        <w:t>. Jeho</w:t>
      </w:r>
      <w:r w:rsidRPr="000B67F1">
        <w:rPr>
          <w:rFonts w:eastAsia="Times New Roman" w:cs="Arial"/>
          <w:sz w:val="24"/>
          <w:szCs w:val="24"/>
          <w:lang w:eastAsia="cs-CZ"/>
        </w:rPr>
        <w:t xml:space="preserve"> součástí je dokument </w:t>
      </w:r>
      <w:r w:rsidRPr="000B67F1">
        <w:rPr>
          <w:rFonts w:eastAsia="Times New Roman" w:cs="Arial"/>
          <w:i/>
          <w:sz w:val="24"/>
          <w:szCs w:val="24"/>
          <w:lang w:eastAsia="cs-CZ"/>
        </w:rPr>
        <w:t>Gender Equality Commission: “Combating Gender Stereotypes in and through  Education” Strategic objective 6: Achieve gender  mainstreaming in all policies and measures</w:t>
      </w:r>
      <w:r w:rsidRPr="000B67F1">
        <w:rPr>
          <w:rFonts w:eastAsia="Times New Roman" w:cs="Arial"/>
          <w:sz w:val="24"/>
          <w:szCs w:val="24"/>
          <w:lang w:eastAsia="cs-CZ"/>
        </w:rPr>
        <w:t>, který uvádí tzv. příklady „dobré praxe.“ Zde uvádíme příklady z Belgie:</w:t>
      </w:r>
    </w:p>
    <w:p w:rsidR="008172BE" w:rsidRPr="000B67F1" w:rsidRDefault="008172BE" w:rsidP="000B67F1">
      <w:pPr>
        <w:spacing w:after="0"/>
        <w:jc w:val="both"/>
        <w:rPr>
          <w:rFonts w:eastAsia="Times New Roman" w:cs="Arial"/>
          <w:sz w:val="24"/>
          <w:szCs w:val="24"/>
          <w:lang w:eastAsia="cs-CZ"/>
        </w:rPr>
      </w:pPr>
    </w:p>
    <w:p w:rsidR="008172BE" w:rsidRPr="000B67F1" w:rsidRDefault="008172BE" w:rsidP="000B67F1">
      <w:pPr>
        <w:pStyle w:val="Odstavecseseznamem"/>
        <w:numPr>
          <w:ilvl w:val="0"/>
          <w:numId w:val="11"/>
        </w:numPr>
        <w:spacing w:after="0"/>
        <w:jc w:val="both"/>
        <w:rPr>
          <w:rFonts w:eastAsia="Times New Roman" w:cs="Arial"/>
          <w:i/>
          <w:sz w:val="24"/>
          <w:szCs w:val="24"/>
          <w:lang w:eastAsia="cs-CZ"/>
        </w:rPr>
      </w:pPr>
      <w:r w:rsidRPr="000B67F1">
        <w:rPr>
          <w:rFonts w:eastAsia="Times New Roman" w:cs="Arial"/>
          <w:i/>
          <w:sz w:val="24"/>
          <w:szCs w:val="24"/>
          <w:lang w:eastAsia="cs-CZ"/>
        </w:rPr>
        <w:t>zavádění učebních materiálů pro střední školy, které se týkají genderu: nero</w:t>
      </w:r>
      <w:r w:rsidR="00903056">
        <w:rPr>
          <w:rFonts w:eastAsia="Times New Roman" w:cs="Arial"/>
          <w:i/>
          <w:sz w:val="24"/>
          <w:szCs w:val="24"/>
          <w:lang w:eastAsia="cs-CZ"/>
        </w:rPr>
        <w:t>z</w:t>
      </w:r>
      <w:r w:rsidRPr="000B67F1">
        <w:rPr>
          <w:rFonts w:eastAsia="Times New Roman" w:cs="Arial"/>
          <w:i/>
          <w:sz w:val="24"/>
          <w:szCs w:val="24"/>
          <w:lang w:eastAsia="cs-CZ"/>
        </w:rPr>
        <w:t>dělují lidi na muže a ženy, nýbrž na „unikátní identitu jedince“, který je kombinací pohlaví, kulturních vlivů, sexuální orientace a psychologického vnímání;</w:t>
      </w:r>
    </w:p>
    <w:p w:rsidR="008172BE" w:rsidRPr="000B67F1" w:rsidRDefault="008172BE" w:rsidP="000B67F1">
      <w:pPr>
        <w:spacing w:after="0"/>
        <w:jc w:val="both"/>
        <w:rPr>
          <w:rFonts w:eastAsia="Times New Roman" w:cs="Arial"/>
          <w:i/>
          <w:sz w:val="24"/>
          <w:szCs w:val="24"/>
          <w:lang w:eastAsia="cs-CZ"/>
        </w:rPr>
      </w:pPr>
    </w:p>
    <w:p w:rsidR="008172BE" w:rsidRPr="000B67F1" w:rsidRDefault="008172BE" w:rsidP="000B67F1">
      <w:pPr>
        <w:pStyle w:val="Odstavecseseznamem"/>
        <w:numPr>
          <w:ilvl w:val="0"/>
          <w:numId w:val="11"/>
        </w:numPr>
        <w:spacing w:after="0"/>
        <w:jc w:val="both"/>
        <w:rPr>
          <w:rFonts w:eastAsia="Times New Roman" w:cs="Arial"/>
          <w:i/>
          <w:sz w:val="24"/>
          <w:szCs w:val="24"/>
          <w:lang w:eastAsia="cs-CZ"/>
        </w:rPr>
      </w:pPr>
      <w:r w:rsidRPr="000B67F1">
        <w:rPr>
          <w:rFonts w:eastAsia="Times New Roman" w:cs="Arial"/>
          <w:i/>
          <w:sz w:val="24"/>
          <w:szCs w:val="24"/>
          <w:lang w:eastAsia="cs-CZ"/>
        </w:rPr>
        <w:t>dívky a chlapci se v předškolním vzdělávání příliš neliší, pomalu, ale jistě se něco začne měnit až k</w:t>
      </w:r>
      <w:r w:rsidR="004D5A6F">
        <w:rPr>
          <w:rFonts w:eastAsia="Times New Roman" w:cs="Arial"/>
          <w:i/>
          <w:sz w:val="24"/>
          <w:szCs w:val="24"/>
          <w:lang w:eastAsia="cs-CZ"/>
        </w:rPr>
        <w:t>e</w:t>
      </w:r>
      <w:r w:rsidRPr="000B67F1">
        <w:rPr>
          <w:rFonts w:eastAsia="Times New Roman" w:cs="Arial"/>
          <w:i/>
          <w:sz w:val="24"/>
          <w:szCs w:val="24"/>
          <w:lang w:eastAsia="cs-CZ"/>
        </w:rPr>
        <w:t xml:space="preserve"> konci předškolní docházky, kdy se stanou dívkami a chlapci s jasným chápáním rozdílů; standardy odlišující dívky a chlapce jsou mnohdy staromódní </w:t>
      </w:r>
      <w:r w:rsidR="00903056">
        <w:rPr>
          <w:rFonts w:eastAsia="Times New Roman" w:cs="Arial"/>
          <w:i/>
          <w:sz w:val="24"/>
          <w:szCs w:val="24"/>
          <w:lang w:eastAsia="cs-CZ"/>
        </w:rPr>
        <w:br/>
      </w:r>
      <w:r w:rsidRPr="000B67F1">
        <w:rPr>
          <w:rFonts w:eastAsia="Times New Roman" w:cs="Arial"/>
          <w:i/>
          <w:sz w:val="24"/>
          <w:szCs w:val="24"/>
          <w:lang w:eastAsia="cs-CZ"/>
        </w:rPr>
        <w:t>a stereotypní.</w:t>
      </w:r>
    </w:p>
    <w:p w:rsidR="00320994" w:rsidRPr="000B67F1" w:rsidRDefault="00320994" w:rsidP="000B67F1">
      <w:pPr>
        <w:spacing w:after="120"/>
        <w:jc w:val="both"/>
        <w:rPr>
          <w:sz w:val="24"/>
          <w:szCs w:val="24"/>
        </w:rPr>
      </w:pPr>
    </w:p>
    <w:p w:rsidR="006623D1" w:rsidRPr="000B67F1" w:rsidRDefault="00903056" w:rsidP="000B67F1">
      <w:pPr>
        <w:spacing w:after="120"/>
        <w:jc w:val="both"/>
        <w:rPr>
          <w:sz w:val="24"/>
          <w:szCs w:val="24"/>
        </w:rPr>
      </w:pPr>
      <w:r>
        <w:rPr>
          <w:sz w:val="24"/>
          <w:szCs w:val="24"/>
        </w:rPr>
        <w:t xml:space="preserve">Agenda se již prosazuje do národních legislativ. </w:t>
      </w:r>
      <w:r w:rsidR="006623D1" w:rsidRPr="000B67F1">
        <w:rPr>
          <w:sz w:val="24"/>
          <w:szCs w:val="24"/>
        </w:rPr>
        <w:t xml:space="preserve">V roce 2016 </w:t>
      </w:r>
      <w:r>
        <w:rPr>
          <w:sz w:val="24"/>
          <w:szCs w:val="24"/>
        </w:rPr>
        <w:t xml:space="preserve">např. </w:t>
      </w:r>
      <w:r w:rsidR="006623D1" w:rsidRPr="000B67F1">
        <w:rPr>
          <w:sz w:val="24"/>
          <w:szCs w:val="24"/>
        </w:rPr>
        <w:t xml:space="preserve">bylo americké ministerstvo zahraničí žalováno za odmítnutí vydání cestovního pasu s označením </w:t>
      </w:r>
      <w:r w:rsidR="006623D1" w:rsidRPr="000B67F1">
        <w:rPr>
          <w:i/>
          <w:sz w:val="24"/>
          <w:szCs w:val="24"/>
        </w:rPr>
        <w:t>intersexuál</w:t>
      </w:r>
      <w:r w:rsidR="006623D1" w:rsidRPr="000B67F1">
        <w:rPr>
          <w:sz w:val="24"/>
          <w:szCs w:val="24"/>
        </w:rPr>
        <w:t xml:space="preserve"> namísto „muž“ či „žena“. </w:t>
      </w:r>
    </w:p>
    <w:p w:rsidR="00320994" w:rsidRPr="000B67F1" w:rsidRDefault="00320994" w:rsidP="000B67F1">
      <w:pPr>
        <w:spacing w:before="100" w:beforeAutospacing="1" w:after="100" w:afterAutospacing="1"/>
        <w:jc w:val="both"/>
        <w:rPr>
          <w:rFonts w:eastAsia="Times New Roman" w:cs="Times New Roman"/>
          <w:sz w:val="24"/>
          <w:szCs w:val="24"/>
          <w:lang w:eastAsia="cs-CZ"/>
        </w:rPr>
      </w:pPr>
      <w:r w:rsidRPr="000B67F1">
        <w:rPr>
          <w:sz w:val="24"/>
          <w:szCs w:val="24"/>
        </w:rPr>
        <w:t xml:space="preserve">V Kalifornii byl přijat </w:t>
      </w:r>
      <w:r w:rsidRPr="00903056">
        <w:rPr>
          <w:rFonts w:eastAsia="Times New Roman" w:cs="Times New Roman"/>
          <w:i/>
          <w:sz w:val="24"/>
          <w:szCs w:val="24"/>
          <w:lang w:eastAsia="cs-CZ"/>
        </w:rPr>
        <w:t>California Senate Bill 777</w:t>
      </w:r>
      <w:r w:rsidRPr="000B67F1">
        <w:rPr>
          <w:rFonts w:eastAsia="Times New Roman" w:cs="Times New Roman"/>
          <w:sz w:val="24"/>
          <w:szCs w:val="24"/>
          <w:lang w:eastAsia="cs-CZ"/>
        </w:rPr>
        <w:t>, který redefinuje pohlaví (</w:t>
      </w:r>
      <w:r w:rsidRPr="000B67F1">
        <w:rPr>
          <w:rFonts w:eastAsia="Times New Roman" w:cs="Times New Roman"/>
          <w:i/>
          <w:sz w:val="24"/>
          <w:szCs w:val="24"/>
          <w:lang w:eastAsia="cs-CZ"/>
        </w:rPr>
        <w:t>sex</w:t>
      </w:r>
      <w:r w:rsidRPr="000B67F1">
        <w:rPr>
          <w:rFonts w:eastAsia="Times New Roman" w:cs="Times New Roman"/>
          <w:sz w:val="24"/>
          <w:szCs w:val="24"/>
          <w:lang w:eastAsia="cs-CZ"/>
        </w:rPr>
        <w:t xml:space="preserve">) jak </w:t>
      </w:r>
      <w:r w:rsidR="004D5A6F">
        <w:rPr>
          <w:rFonts w:eastAsia="Times New Roman" w:cs="Times New Roman"/>
          <w:sz w:val="24"/>
          <w:szCs w:val="24"/>
          <w:lang w:eastAsia="cs-CZ"/>
        </w:rPr>
        <w:t xml:space="preserve">o </w:t>
      </w:r>
      <w:r w:rsidRPr="000B67F1">
        <w:rPr>
          <w:rFonts w:eastAsia="Times New Roman" w:cs="Times New Roman"/>
          <w:i/>
          <w:sz w:val="24"/>
          <w:szCs w:val="24"/>
          <w:lang w:eastAsia="cs-CZ"/>
        </w:rPr>
        <w:t>genderovou identitu</w:t>
      </w:r>
      <w:r w:rsidRPr="000B67F1">
        <w:rPr>
          <w:rFonts w:eastAsia="Times New Roman" w:cs="Times New Roman"/>
          <w:sz w:val="24"/>
          <w:szCs w:val="24"/>
          <w:lang w:eastAsia="cs-CZ"/>
        </w:rPr>
        <w:t xml:space="preserve">, jež závisí </w:t>
      </w:r>
      <w:r w:rsidR="004D5A6F">
        <w:rPr>
          <w:rFonts w:eastAsia="Times New Roman" w:cs="Times New Roman"/>
          <w:sz w:val="24"/>
          <w:szCs w:val="24"/>
          <w:lang w:eastAsia="cs-CZ"/>
        </w:rPr>
        <w:t>n</w:t>
      </w:r>
      <w:r w:rsidRPr="000B67F1">
        <w:rPr>
          <w:rFonts w:eastAsia="Times New Roman" w:cs="Times New Roman"/>
          <w:sz w:val="24"/>
          <w:szCs w:val="24"/>
          <w:lang w:eastAsia="cs-CZ"/>
        </w:rPr>
        <w:t xml:space="preserve">a pocitech žáka a studenta (na všech stupních veřejných škol i na většině soukromých škol), nikoli na jeho biologickém pohlaví. </w:t>
      </w:r>
      <w:r w:rsidR="006623D1" w:rsidRPr="000B67F1">
        <w:rPr>
          <w:rFonts w:eastAsia="Times New Roman" w:cs="Times New Roman"/>
          <w:sz w:val="24"/>
          <w:szCs w:val="24"/>
          <w:lang w:eastAsia="cs-CZ"/>
        </w:rPr>
        <w:t xml:space="preserve">V roce 2017 přijala Kalifornie též </w:t>
      </w:r>
      <w:r w:rsidR="006623D1" w:rsidRPr="00903056">
        <w:rPr>
          <w:rFonts w:eastAsia="Times New Roman" w:cs="Times New Roman"/>
          <w:i/>
          <w:sz w:val="24"/>
          <w:szCs w:val="24"/>
          <w:lang w:eastAsia="cs-CZ"/>
        </w:rPr>
        <w:t>Senate Bill 179</w:t>
      </w:r>
      <w:r w:rsidR="006623D1" w:rsidRPr="000B67F1">
        <w:rPr>
          <w:rFonts w:eastAsia="Times New Roman" w:cs="Times New Roman"/>
          <w:sz w:val="24"/>
          <w:szCs w:val="24"/>
          <w:lang w:eastAsia="cs-CZ"/>
        </w:rPr>
        <w:t xml:space="preserve"> </w:t>
      </w:r>
      <w:r w:rsidR="006623D1" w:rsidRPr="000B67F1">
        <w:rPr>
          <w:rFonts w:eastAsia="Times New Roman" w:cs="Times New Roman"/>
          <w:i/>
          <w:sz w:val="24"/>
          <w:szCs w:val="24"/>
          <w:lang w:eastAsia="cs-CZ"/>
        </w:rPr>
        <w:t>Gender Recognition Act</w:t>
      </w:r>
      <w:r w:rsidR="006623D1" w:rsidRPr="000B67F1">
        <w:rPr>
          <w:rFonts w:eastAsia="Times New Roman" w:cs="Times New Roman"/>
          <w:sz w:val="24"/>
          <w:szCs w:val="24"/>
          <w:lang w:eastAsia="cs-CZ"/>
        </w:rPr>
        <w:t xml:space="preserve">, který uznává „třetí pohlaví“ (non-binary), které musí být uznáno ve všech úředních dokladech (např. řidičské průkazy). K rozhodnutí o identitě není třeba vyjádření lékaře, stačí rozhodnutí samotného člověka. Návrh zákona umožňující „třetí pohlaví“ pro děti schválila v roce 2018 německá spolková vláda. </w:t>
      </w:r>
    </w:p>
    <w:p w:rsidR="00A35EFD" w:rsidRPr="000B67F1" w:rsidRDefault="006623D1" w:rsidP="000B67F1">
      <w:pPr>
        <w:spacing w:after="120"/>
        <w:jc w:val="both"/>
        <w:rPr>
          <w:rFonts w:eastAsia="Times New Roman" w:cs="Times New Roman"/>
          <w:sz w:val="24"/>
          <w:szCs w:val="24"/>
          <w:lang w:eastAsia="cs-CZ"/>
        </w:rPr>
      </w:pPr>
      <w:r w:rsidRPr="000B67F1">
        <w:rPr>
          <w:sz w:val="24"/>
          <w:szCs w:val="24"/>
        </w:rPr>
        <w:t xml:space="preserve">Příklady „dobré praxe“ v oblasti genderové identity dětí a dospělých uvádí publikace </w:t>
      </w:r>
      <w:r w:rsidRPr="000B67F1">
        <w:rPr>
          <w:rFonts w:eastAsia="Times New Roman" w:cs="Times New Roman"/>
          <w:i/>
          <w:sz w:val="24"/>
          <w:szCs w:val="24"/>
          <w:lang w:eastAsia="cs-CZ"/>
        </w:rPr>
        <w:t>Open Society Found</w:t>
      </w:r>
      <w:r w:rsidR="006B64AE">
        <w:rPr>
          <w:rFonts w:eastAsia="Times New Roman" w:cs="Times New Roman"/>
          <w:i/>
          <w:sz w:val="24"/>
          <w:szCs w:val="24"/>
          <w:lang w:eastAsia="cs-CZ"/>
        </w:rPr>
        <w:t xml:space="preserve">ations – Licence to be Yourself </w:t>
      </w:r>
      <w:r w:rsidR="006B64AE" w:rsidRPr="006B64AE">
        <w:rPr>
          <w:rFonts w:eastAsia="Times New Roman" w:cs="Times New Roman"/>
          <w:sz w:val="24"/>
          <w:szCs w:val="24"/>
          <w:lang w:eastAsia="cs-CZ"/>
        </w:rPr>
        <w:t>(</w:t>
      </w:r>
      <w:r w:rsidR="006B64AE" w:rsidRPr="006B64AE">
        <w:rPr>
          <w:sz w:val="24"/>
          <w:szCs w:val="24"/>
        </w:rPr>
        <w:t>Open Society Foundations 2014, ISBN 9781940983103.)</w:t>
      </w:r>
      <w:r w:rsidR="006B64AE" w:rsidRPr="000B67F1">
        <w:rPr>
          <w:rFonts w:eastAsia="Times New Roman" w:cs="Times New Roman"/>
          <w:sz w:val="24"/>
          <w:szCs w:val="24"/>
          <w:lang w:eastAsia="cs-CZ"/>
        </w:rPr>
        <w:t xml:space="preserve"> </w:t>
      </w:r>
      <w:r w:rsidR="00D143FF" w:rsidRPr="000B67F1">
        <w:rPr>
          <w:rFonts w:eastAsia="Times New Roman" w:cs="Times New Roman"/>
          <w:sz w:val="24"/>
          <w:szCs w:val="24"/>
          <w:lang w:eastAsia="cs-CZ"/>
        </w:rPr>
        <w:t>Právo na uznání vybrané genderové identity je prý důležitým lidským právem</w:t>
      </w:r>
      <w:r w:rsidR="00A35EFD" w:rsidRPr="000B67F1">
        <w:rPr>
          <w:rFonts w:eastAsia="Times New Roman" w:cs="Times New Roman"/>
          <w:sz w:val="24"/>
          <w:szCs w:val="24"/>
          <w:lang w:eastAsia="cs-CZ"/>
        </w:rPr>
        <w:t xml:space="preserve">. Progresivní legislativa by proto měla být založena na subjektivní, nikoli objektivní, </w:t>
      </w:r>
      <w:r w:rsidR="00A35EFD" w:rsidRPr="000B67F1">
        <w:rPr>
          <w:rFonts w:eastAsia="Times New Roman" w:cs="Times New Roman"/>
          <w:sz w:val="24"/>
          <w:szCs w:val="24"/>
          <w:lang w:eastAsia="cs-CZ"/>
        </w:rPr>
        <w:lastRenderedPageBreak/>
        <w:t>definici genderové identity</w:t>
      </w:r>
      <w:r w:rsidR="009D4642">
        <w:rPr>
          <w:rFonts w:eastAsia="Times New Roman" w:cs="Times New Roman"/>
          <w:sz w:val="24"/>
          <w:szCs w:val="24"/>
          <w:lang w:eastAsia="cs-CZ"/>
        </w:rPr>
        <w:t>, měla by zahrno</w:t>
      </w:r>
      <w:r w:rsidR="00A35EFD" w:rsidRPr="000B67F1">
        <w:rPr>
          <w:rFonts w:eastAsia="Times New Roman" w:cs="Times New Roman"/>
          <w:sz w:val="24"/>
          <w:szCs w:val="24"/>
          <w:lang w:eastAsia="cs-CZ"/>
        </w:rPr>
        <w:t xml:space="preserve">vat více než dvě možnosti genderu (muž/žena) a měla by se vztahovat i na malé děti, neboť údajně již dvouleté dítě může vnímat svoji genderovou identitu. </w:t>
      </w:r>
    </w:p>
    <w:p w:rsidR="002E4CA6" w:rsidRDefault="00A35EFD" w:rsidP="000B67F1">
      <w:pPr>
        <w:spacing w:after="120"/>
        <w:jc w:val="both"/>
        <w:rPr>
          <w:rFonts w:eastAsia="Times New Roman" w:cs="Times New Roman"/>
          <w:sz w:val="24"/>
          <w:szCs w:val="24"/>
          <w:lang w:eastAsia="cs-CZ"/>
        </w:rPr>
      </w:pPr>
      <w:r w:rsidRPr="000B67F1">
        <w:rPr>
          <w:rFonts w:eastAsia="Times New Roman" w:cs="Times New Roman"/>
          <w:sz w:val="24"/>
          <w:szCs w:val="24"/>
          <w:lang w:eastAsia="cs-CZ"/>
        </w:rPr>
        <w:t xml:space="preserve">Za vzor je kladen argentinský zákon </w:t>
      </w:r>
      <w:r w:rsidRPr="000B67F1">
        <w:rPr>
          <w:rFonts w:eastAsia="Times New Roman" w:cs="Times New Roman"/>
          <w:i/>
          <w:sz w:val="24"/>
          <w:szCs w:val="24"/>
          <w:lang w:eastAsia="cs-CZ"/>
        </w:rPr>
        <w:t>Gender Identity Law</w:t>
      </w:r>
      <w:r w:rsidR="002A6997">
        <w:rPr>
          <w:rFonts w:eastAsia="Times New Roman" w:cs="Times New Roman"/>
          <w:sz w:val="24"/>
          <w:szCs w:val="24"/>
          <w:lang w:eastAsia="cs-CZ"/>
        </w:rPr>
        <w:t xml:space="preserve"> z roku 2012 </w:t>
      </w:r>
      <w:r w:rsidR="002A6997" w:rsidRPr="002A6997">
        <w:rPr>
          <w:rFonts w:eastAsia="Times New Roman" w:cs="Times New Roman"/>
          <w:sz w:val="24"/>
          <w:szCs w:val="24"/>
          <w:lang w:eastAsia="cs-CZ"/>
        </w:rPr>
        <w:t>(</w:t>
      </w:r>
      <w:r w:rsidR="002A6997" w:rsidRPr="002A6997">
        <w:rPr>
          <w:color w:val="000000" w:themeColor="text1"/>
          <w:sz w:val="24"/>
          <w:szCs w:val="24"/>
        </w:rPr>
        <w:t>The Argentinean Gender Identity and Health Comprehensive Care for Transgender People Act (Decree No. 773/12, of Gender Identity Act No. 26.743),</w:t>
      </w:r>
      <w:r w:rsidRPr="000B67F1">
        <w:rPr>
          <w:rFonts w:eastAsia="Times New Roman" w:cs="Times New Roman"/>
          <w:sz w:val="24"/>
          <w:szCs w:val="24"/>
          <w:lang w:eastAsia="cs-CZ"/>
        </w:rPr>
        <w:t xml:space="preserve"> který umožňuje rozhodovat se o vlas</w:t>
      </w:r>
      <w:r w:rsidR="002A6997">
        <w:rPr>
          <w:rFonts w:eastAsia="Times New Roman" w:cs="Times New Roman"/>
          <w:sz w:val="24"/>
          <w:szCs w:val="24"/>
          <w:lang w:eastAsia="cs-CZ"/>
        </w:rPr>
        <w:t>tní genderové identitě i dětem.</w:t>
      </w:r>
      <w:r w:rsidRPr="000B67F1">
        <w:rPr>
          <w:rFonts w:eastAsia="Times New Roman" w:cs="Times New Roman"/>
          <w:sz w:val="24"/>
          <w:szCs w:val="24"/>
          <w:lang w:eastAsia="cs-CZ"/>
        </w:rPr>
        <w:t xml:space="preserve"> </w:t>
      </w:r>
    </w:p>
    <w:p w:rsidR="00903056" w:rsidRPr="000B67F1" w:rsidRDefault="00903056" w:rsidP="002A6997">
      <w:pPr>
        <w:jc w:val="both"/>
        <w:rPr>
          <w:rFonts w:eastAsia="Times New Roman" w:cs="Times New Roman"/>
          <w:sz w:val="24"/>
          <w:szCs w:val="24"/>
          <w:lang w:eastAsia="cs-CZ"/>
        </w:rPr>
      </w:pPr>
      <w:r w:rsidRPr="000B67F1">
        <w:rPr>
          <w:sz w:val="24"/>
          <w:szCs w:val="24"/>
        </w:rPr>
        <w:t xml:space="preserve">Snaha o neutralizaci rozdílů ve vnímání pohlaví dítěte zatím pronikla do jazyka. </w:t>
      </w:r>
      <w:r w:rsidRPr="000B67F1">
        <w:rPr>
          <w:rFonts w:cs="Times New Roman"/>
          <w:sz w:val="24"/>
          <w:szCs w:val="24"/>
        </w:rPr>
        <w:t xml:space="preserve">Ve </w:t>
      </w:r>
      <w:r w:rsidRPr="004D5A6F">
        <w:rPr>
          <w:rFonts w:cs="Times New Roman"/>
          <w:sz w:val="24"/>
          <w:szCs w:val="24"/>
        </w:rPr>
        <w:t>švédštině</w:t>
      </w:r>
      <w:r w:rsidRPr="000B67F1">
        <w:rPr>
          <w:rFonts w:cs="Times New Roman"/>
          <w:sz w:val="24"/>
          <w:szCs w:val="24"/>
        </w:rPr>
        <w:t xml:space="preserve"> je například od roku 2014 kodifikováno</w:t>
      </w:r>
      <w:r w:rsidR="002A6997" w:rsidRPr="002A6997">
        <w:rPr>
          <w:rFonts w:cs="Times New Roman"/>
          <w:sz w:val="24"/>
          <w:szCs w:val="24"/>
        </w:rPr>
        <w:t xml:space="preserve"> </w:t>
      </w:r>
      <w:r w:rsidR="002A6997" w:rsidRPr="000B67F1">
        <w:rPr>
          <w:rFonts w:cs="Times New Roman"/>
          <w:sz w:val="24"/>
          <w:szCs w:val="24"/>
        </w:rPr>
        <w:t>genderově neutrální osobní zájmeno</w:t>
      </w:r>
      <w:r w:rsidRPr="000B67F1">
        <w:rPr>
          <w:rFonts w:cs="Times New Roman"/>
          <w:sz w:val="24"/>
          <w:szCs w:val="24"/>
        </w:rPr>
        <w:t xml:space="preserve"> </w:t>
      </w:r>
      <w:r w:rsidRPr="000B67F1">
        <w:rPr>
          <w:rFonts w:cs="Times New Roman"/>
          <w:i/>
          <w:sz w:val="24"/>
          <w:szCs w:val="24"/>
        </w:rPr>
        <w:t>hen</w:t>
      </w:r>
      <w:r w:rsidR="002A6997">
        <w:rPr>
          <w:rFonts w:cs="Times New Roman"/>
          <w:sz w:val="24"/>
          <w:szCs w:val="24"/>
        </w:rPr>
        <w:t xml:space="preserve"> </w:t>
      </w:r>
      <w:r w:rsidR="002A6997" w:rsidRPr="002A6997">
        <w:rPr>
          <w:rFonts w:cs="Times New Roman"/>
          <w:sz w:val="24"/>
          <w:szCs w:val="24"/>
        </w:rPr>
        <w:t>(</w:t>
      </w:r>
      <w:r w:rsidR="002A6997" w:rsidRPr="002A6997">
        <w:rPr>
          <w:sz w:val="24"/>
          <w:szCs w:val="24"/>
        </w:rPr>
        <w:t>Gramatika současné švédštiny. 2015. Lingea.)</w:t>
      </w:r>
      <w:r w:rsidRPr="000B67F1">
        <w:rPr>
          <w:rFonts w:cs="Times New Roman"/>
          <w:sz w:val="24"/>
          <w:szCs w:val="24"/>
        </w:rPr>
        <w:t xml:space="preserve"> Zejména švédská média je používají, aby vyjádřila rovnost mezi pohlavími. Švédské školky doporučují používání bezpohlavního zájmena </w:t>
      </w:r>
      <w:r w:rsidRPr="000B67F1">
        <w:rPr>
          <w:rFonts w:cs="Times New Roman"/>
          <w:i/>
          <w:sz w:val="24"/>
          <w:szCs w:val="24"/>
        </w:rPr>
        <w:t>hen</w:t>
      </w:r>
      <w:r w:rsidRPr="000B67F1">
        <w:rPr>
          <w:rFonts w:cs="Times New Roman"/>
          <w:sz w:val="24"/>
          <w:szCs w:val="24"/>
        </w:rPr>
        <w:t xml:space="preserve"> pro malé děti, aby dostaly šanci vybrat si svůj vlastní gender a nebyly svazovány biologickým pohlavím. Obdobně se zj. v anglosaských zemích experimentuje s </w:t>
      </w:r>
      <w:r w:rsidRPr="000B67F1">
        <w:rPr>
          <w:rFonts w:cs="Times New Roman"/>
          <w:b/>
          <w:sz w:val="24"/>
          <w:szCs w:val="24"/>
        </w:rPr>
        <w:t>genderově-neutrálním rodičovstvím</w:t>
      </w:r>
      <w:r w:rsidRPr="000B67F1">
        <w:rPr>
          <w:rFonts w:cs="Times New Roman"/>
          <w:sz w:val="24"/>
          <w:szCs w:val="24"/>
        </w:rPr>
        <w:t xml:space="preserve">, kdy jsou </w:t>
      </w:r>
      <w:r w:rsidRPr="000B67F1">
        <w:rPr>
          <w:rFonts w:eastAsia="Times New Roman" w:cs="Times New Roman"/>
          <w:sz w:val="24"/>
          <w:szCs w:val="24"/>
          <w:lang w:eastAsia="cs-CZ"/>
        </w:rPr>
        <w:t>děti vychovávány bez určení pohlaví, mohou být oblékány jako příslušníci opačného pohlaví,</w:t>
      </w:r>
      <w:r w:rsidR="002A6997">
        <w:rPr>
          <w:rFonts w:eastAsia="Times New Roman" w:cs="Times New Roman"/>
          <w:sz w:val="24"/>
          <w:szCs w:val="24"/>
          <w:lang w:eastAsia="cs-CZ"/>
        </w:rPr>
        <w:t xml:space="preserve"> </w:t>
      </w:r>
      <w:r w:rsidRPr="000B67F1">
        <w:rPr>
          <w:rFonts w:eastAsia="Times New Roman" w:cs="Times New Roman"/>
          <w:sz w:val="24"/>
          <w:szCs w:val="24"/>
          <w:lang w:eastAsia="cs-CZ"/>
        </w:rPr>
        <w:t>dostávají</w:t>
      </w:r>
      <w:r w:rsidR="002A6997">
        <w:rPr>
          <w:rFonts w:eastAsia="Times New Roman" w:cs="Times New Roman"/>
          <w:sz w:val="24"/>
          <w:szCs w:val="24"/>
          <w:lang w:eastAsia="cs-CZ"/>
        </w:rPr>
        <w:t xml:space="preserve"> </w:t>
      </w:r>
      <w:r w:rsidRPr="000B67F1">
        <w:rPr>
          <w:rFonts w:eastAsia="Times New Roman" w:cs="Times New Roman"/>
          <w:sz w:val="24"/>
          <w:szCs w:val="24"/>
          <w:lang w:eastAsia="cs-CZ"/>
        </w:rPr>
        <w:t>opačné hračky a nejsou označovány zájmeny „on, ona“, ale neutrálně.</w:t>
      </w:r>
    </w:p>
    <w:p w:rsidR="00903056" w:rsidRPr="000B67F1" w:rsidRDefault="00903056" w:rsidP="00903056">
      <w:pPr>
        <w:jc w:val="both"/>
        <w:rPr>
          <w:rFonts w:eastAsia="Times New Roman" w:cs="Times New Roman"/>
          <w:sz w:val="24"/>
          <w:szCs w:val="24"/>
          <w:lang w:eastAsia="cs-CZ"/>
        </w:rPr>
      </w:pPr>
      <w:r w:rsidRPr="000B67F1">
        <w:rPr>
          <w:rFonts w:eastAsia="Times New Roman" w:cs="Times New Roman"/>
          <w:sz w:val="24"/>
          <w:szCs w:val="24"/>
          <w:lang w:eastAsia="cs-CZ"/>
        </w:rPr>
        <w:t xml:space="preserve">Pokud rodič či kdokoli jiný nazývá dítě křestním jménem, nikoli jménem, pro které se v rámci své genderové identity rozhodlo, jedná se podle ontarijského ministerstva školství </w:t>
      </w:r>
      <w:r>
        <w:rPr>
          <w:rFonts w:eastAsia="Times New Roman" w:cs="Times New Roman"/>
          <w:sz w:val="24"/>
          <w:szCs w:val="24"/>
          <w:lang w:eastAsia="cs-CZ"/>
        </w:rPr>
        <w:br/>
      </w:r>
      <w:r w:rsidRPr="000B67F1">
        <w:rPr>
          <w:rFonts w:eastAsia="Times New Roman" w:cs="Times New Roman"/>
          <w:sz w:val="24"/>
          <w:szCs w:val="24"/>
          <w:lang w:eastAsia="cs-CZ"/>
        </w:rPr>
        <w:t xml:space="preserve">o </w:t>
      </w:r>
      <w:r w:rsidRPr="000B67F1">
        <w:rPr>
          <w:rFonts w:eastAsia="Times New Roman" w:cs="Times New Roman"/>
          <w:i/>
          <w:sz w:val="24"/>
          <w:szCs w:val="24"/>
          <w:lang w:eastAsia="cs-CZ"/>
        </w:rPr>
        <w:t>transfobii</w:t>
      </w:r>
      <w:r w:rsidRPr="000B67F1">
        <w:rPr>
          <w:rFonts w:eastAsia="Times New Roman" w:cs="Times New Roman"/>
          <w:sz w:val="24"/>
          <w:szCs w:val="24"/>
          <w:lang w:eastAsia="cs-CZ"/>
        </w:rPr>
        <w:t xml:space="preserve">. </w:t>
      </w:r>
    </w:p>
    <w:p w:rsidR="00903056" w:rsidRDefault="00903056" w:rsidP="002B6554">
      <w:pPr>
        <w:jc w:val="both"/>
        <w:rPr>
          <w:rFonts w:eastAsia="Times New Roman" w:cs="Times New Roman"/>
          <w:b/>
          <w:sz w:val="24"/>
          <w:szCs w:val="24"/>
          <w:lang w:eastAsia="cs-CZ"/>
        </w:rPr>
      </w:pPr>
    </w:p>
    <w:p w:rsidR="002B6554" w:rsidRPr="003E62D6" w:rsidRDefault="002B6554" w:rsidP="003E62D6">
      <w:pPr>
        <w:pStyle w:val="Odstavecseseznamem"/>
        <w:numPr>
          <w:ilvl w:val="0"/>
          <w:numId w:val="21"/>
        </w:numPr>
        <w:spacing w:after="0" w:line="240" w:lineRule="auto"/>
        <w:jc w:val="both"/>
        <w:rPr>
          <w:rFonts w:cstheme="minorHAnsi"/>
          <w:b/>
          <w:sz w:val="24"/>
          <w:szCs w:val="24"/>
        </w:rPr>
      </w:pPr>
      <w:r w:rsidRPr="003E62D6">
        <w:rPr>
          <w:rFonts w:cstheme="minorHAnsi"/>
          <w:b/>
          <w:i/>
          <w:sz w:val="24"/>
          <w:szCs w:val="24"/>
        </w:rPr>
        <w:t>Za každý nesouhlas budete deportováni do nápravně-výchovných pracovních táborů vyhlazovacího charakteru.</w:t>
      </w:r>
    </w:p>
    <w:p w:rsidR="002B6554" w:rsidRPr="002B6554" w:rsidRDefault="002B6554" w:rsidP="002B6554">
      <w:pPr>
        <w:spacing w:after="0" w:line="240" w:lineRule="auto"/>
        <w:jc w:val="both"/>
        <w:rPr>
          <w:rFonts w:cstheme="minorHAnsi"/>
          <w:sz w:val="24"/>
          <w:szCs w:val="24"/>
        </w:rPr>
      </w:pPr>
    </w:p>
    <w:p w:rsidR="00FA6D4E" w:rsidRPr="00350D0A" w:rsidRDefault="00350D0A" w:rsidP="00350D0A">
      <w:pPr>
        <w:jc w:val="both"/>
        <w:rPr>
          <w:rFonts w:eastAsia="Times New Roman" w:cs="Times New Roman"/>
          <w:i/>
          <w:sz w:val="24"/>
          <w:szCs w:val="24"/>
          <w:lang w:eastAsia="cs-CZ"/>
        </w:rPr>
      </w:pPr>
      <w:r>
        <w:rPr>
          <w:rFonts w:eastAsia="Times New Roman" w:cs="Times New Roman"/>
          <w:sz w:val="24"/>
          <w:szCs w:val="24"/>
          <w:lang w:eastAsia="cs-CZ"/>
        </w:rPr>
        <w:t>K </w:t>
      </w:r>
      <w:r w:rsidR="004D5A6F">
        <w:rPr>
          <w:rFonts w:eastAsia="Times New Roman" w:cs="Times New Roman"/>
          <w:sz w:val="24"/>
          <w:szCs w:val="24"/>
          <w:lang w:eastAsia="cs-CZ"/>
        </w:rPr>
        <w:t>pátému</w:t>
      </w:r>
      <w:r>
        <w:rPr>
          <w:rFonts w:eastAsia="Times New Roman" w:cs="Times New Roman"/>
          <w:sz w:val="24"/>
          <w:szCs w:val="24"/>
          <w:lang w:eastAsia="cs-CZ"/>
        </w:rPr>
        <w:t xml:space="preserve"> bodu uvedu, že ú</w:t>
      </w:r>
      <w:r w:rsidR="00FA6D4E" w:rsidRPr="000B67F1">
        <w:rPr>
          <w:rFonts w:eastAsia="Times New Roman" w:cs="Times New Roman"/>
          <w:sz w:val="24"/>
          <w:szCs w:val="24"/>
          <w:lang w:eastAsia="cs-CZ"/>
        </w:rPr>
        <w:t xml:space="preserve">mluva usiluje o promítnutí genderové ideologie do vzdělávání a </w:t>
      </w:r>
      <w:r>
        <w:rPr>
          <w:rFonts w:eastAsia="Times New Roman" w:cs="Times New Roman"/>
          <w:sz w:val="24"/>
          <w:szCs w:val="24"/>
          <w:lang w:eastAsia="cs-CZ"/>
        </w:rPr>
        <w:t>v</w:t>
      </w:r>
      <w:r w:rsidR="00FA6D4E" w:rsidRPr="000B67F1">
        <w:rPr>
          <w:rFonts w:eastAsia="Times New Roman" w:cs="Times New Roman"/>
          <w:sz w:val="24"/>
          <w:szCs w:val="24"/>
          <w:lang w:eastAsia="cs-CZ"/>
        </w:rPr>
        <w:t>ýchovy dětí i „převýchovy“ dospělých.</w:t>
      </w:r>
      <w:r>
        <w:rPr>
          <w:rFonts w:eastAsia="Times New Roman" w:cs="Times New Roman"/>
          <w:sz w:val="24"/>
          <w:szCs w:val="24"/>
          <w:lang w:eastAsia="cs-CZ"/>
        </w:rPr>
        <w:t xml:space="preserve"> Článek 12.1. říká: </w:t>
      </w:r>
      <w:r w:rsidR="004D5A6F">
        <w:rPr>
          <w:rFonts w:eastAsia="Times New Roman" w:cs="Times New Roman"/>
          <w:i/>
          <w:sz w:val="24"/>
          <w:szCs w:val="24"/>
          <w:lang w:eastAsia="cs-CZ"/>
        </w:rPr>
        <w:t>Smluvní s</w:t>
      </w:r>
      <w:r>
        <w:rPr>
          <w:rFonts w:eastAsia="Times New Roman" w:cs="Times New Roman"/>
          <w:i/>
          <w:sz w:val="24"/>
          <w:szCs w:val="24"/>
          <w:lang w:eastAsia="cs-CZ"/>
        </w:rPr>
        <w:t>trany podniknou nezbytná opatření pro podporu sociálních a kulturních vzorců chování žen a mužů s cílem vymýtit předsudky, zvyky, tradice a další praktiky, jež jsou založeny na předpokladu podřízenosti ženy anebo stereotypním pojímání rolí žen a mužů.</w:t>
      </w:r>
    </w:p>
    <w:p w:rsidR="007A3DE7" w:rsidRPr="004D5A6F" w:rsidRDefault="00730810" w:rsidP="000B67F1">
      <w:pPr>
        <w:jc w:val="both"/>
        <w:rPr>
          <w:rFonts w:cs="Palatino Linotype"/>
          <w:i/>
          <w:sz w:val="24"/>
          <w:szCs w:val="24"/>
        </w:rPr>
      </w:pPr>
      <w:r w:rsidRPr="000B67F1">
        <w:rPr>
          <w:rFonts w:cs="Times New Roman"/>
          <w:sz w:val="24"/>
          <w:szCs w:val="24"/>
        </w:rPr>
        <w:t xml:space="preserve">O „převýchově“ ve smyslu nutnosti „změny mentality a přístupu“ </w:t>
      </w:r>
      <w:r w:rsidR="004D5A6F">
        <w:rPr>
          <w:rFonts w:cs="Times New Roman"/>
          <w:sz w:val="24"/>
          <w:szCs w:val="24"/>
        </w:rPr>
        <w:t xml:space="preserve">v </w:t>
      </w:r>
      <w:r w:rsidRPr="000B67F1">
        <w:rPr>
          <w:rFonts w:cs="Times New Roman"/>
          <w:sz w:val="24"/>
          <w:szCs w:val="24"/>
        </w:rPr>
        <w:t>chování hovoří výklad Úmluvy, čl. 85</w:t>
      </w:r>
      <w:r w:rsidR="00350D0A">
        <w:rPr>
          <w:rFonts w:cs="Times New Roman"/>
          <w:sz w:val="24"/>
          <w:szCs w:val="24"/>
        </w:rPr>
        <w:t xml:space="preserve"> jasně: </w:t>
      </w:r>
      <w:r w:rsidRPr="000B67F1">
        <w:rPr>
          <w:rFonts w:cs="Palatino Linotype"/>
          <w:sz w:val="24"/>
          <w:szCs w:val="24"/>
        </w:rPr>
        <w:t xml:space="preserve"> </w:t>
      </w:r>
      <w:r w:rsidR="00350D0A" w:rsidRPr="004D5A6F">
        <w:rPr>
          <w:rFonts w:cs="Palatino Linotype"/>
          <w:i/>
          <w:sz w:val="24"/>
          <w:szCs w:val="24"/>
        </w:rPr>
        <w:t>Smluvní strany se zavazují učinit opatření nutná k prosazení změn mentality a přístupů. Záměrem tohoto ustanovení je zasáhnout mysl a srdce takových jedinců, kteří svým chováním přispívají k tomu, aby pokračovalo násilí zahrnuté v této smlouvě.</w:t>
      </w:r>
    </w:p>
    <w:p w:rsidR="00350D0A" w:rsidRPr="00350D0A" w:rsidRDefault="00350D0A" w:rsidP="000B67F1">
      <w:pPr>
        <w:jc w:val="both"/>
        <w:rPr>
          <w:rFonts w:cs="Palatino Linotype"/>
          <w:i/>
          <w:sz w:val="24"/>
          <w:szCs w:val="24"/>
        </w:rPr>
      </w:pPr>
      <w:r>
        <w:rPr>
          <w:rFonts w:cs="Palatino Linotype"/>
          <w:sz w:val="24"/>
          <w:szCs w:val="24"/>
        </w:rPr>
        <w:t xml:space="preserve">Článek 12.5. stanovuje, že: </w:t>
      </w:r>
      <w:r w:rsidR="004D5A6F">
        <w:rPr>
          <w:rFonts w:cs="Palatino Linotype"/>
          <w:i/>
          <w:sz w:val="24"/>
          <w:szCs w:val="24"/>
        </w:rPr>
        <w:t>Smluvní s</w:t>
      </w:r>
      <w:r>
        <w:rPr>
          <w:rFonts w:cs="Palatino Linotype"/>
          <w:i/>
          <w:sz w:val="24"/>
          <w:szCs w:val="24"/>
        </w:rPr>
        <w:t>trany se zasadí o to, aby žádný akt násilí ve smyslu této úmluvy nemohl být ospravedlňován kulturou, náboženstvím, tradicí či tzv. „ctí“</w:t>
      </w:r>
      <w:r w:rsidR="00624485">
        <w:rPr>
          <w:rFonts w:cs="Palatino Linotype"/>
          <w:i/>
          <w:sz w:val="24"/>
          <w:szCs w:val="24"/>
        </w:rPr>
        <w:t>.</w:t>
      </w:r>
    </w:p>
    <w:p w:rsidR="00E142F2" w:rsidRPr="000B67F1" w:rsidRDefault="00FA6D4E" w:rsidP="000B67F1">
      <w:pPr>
        <w:jc w:val="both"/>
        <w:rPr>
          <w:rFonts w:cs="Palatino Linotype"/>
          <w:sz w:val="24"/>
          <w:szCs w:val="24"/>
        </w:rPr>
      </w:pPr>
      <w:r w:rsidRPr="000B67F1">
        <w:rPr>
          <w:rFonts w:cs="Palatino Linotype"/>
          <w:sz w:val="24"/>
          <w:szCs w:val="24"/>
        </w:rPr>
        <w:t xml:space="preserve">Podle článku 14 mají ve formálních osnovách na všech úrovních vzdělávání existovat materiály mj. k tématu nestereotypní genderové role či právo na osobní integritu; promítnout se však mají také do výuky v neformálních vzdělávacích zařízeních a zařízeních </w:t>
      </w:r>
      <w:r w:rsidRPr="000B67F1">
        <w:rPr>
          <w:rFonts w:cs="Palatino Linotype"/>
          <w:sz w:val="24"/>
          <w:szCs w:val="24"/>
        </w:rPr>
        <w:lastRenderedPageBreak/>
        <w:t xml:space="preserve">sportovních, kulturních a volnočasových i médií. </w:t>
      </w:r>
      <w:r w:rsidR="00AE3DE0" w:rsidRPr="000B67F1">
        <w:rPr>
          <w:rFonts w:cs="Palatino Linotype"/>
          <w:sz w:val="24"/>
          <w:szCs w:val="24"/>
        </w:rPr>
        <w:t>Výklad k citovanému odstavci 2 článku 14 mezi tato zařízení zahrnuje i církevně vzděláv</w:t>
      </w:r>
      <w:r w:rsidR="00624485">
        <w:rPr>
          <w:rFonts w:cs="Palatino Linotype"/>
          <w:sz w:val="24"/>
          <w:szCs w:val="24"/>
        </w:rPr>
        <w:t>ací zařízení (čl. 96 komentáře), což znamená i výuku náboženství.</w:t>
      </w:r>
      <w:r w:rsidR="00AE3DE0" w:rsidRPr="000B67F1">
        <w:rPr>
          <w:rFonts w:cs="Palatino Linotype"/>
          <w:sz w:val="24"/>
          <w:szCs w:val="24"/>
        </w:rPr>
        <w:t xml:space="preserve"> </w:t>
      </w:r>
    </w:p>
    <w:p w:rsidR="00327148" w:rsidRPr="009D4642" w:rsidRDefault="00E142F2" w:rsidP="009D4642">
      <w:pPr>
        <w:jc w:val="both"/>
        <w:rPr>
          <w:sz w:val="24"/>
          <w:szCs w:val="24"/>
        </w:rPr>
      </w:pPr>
      <w:r w:rsidRPr="000B67F1">
        <w:rPr>
          <w:sz w:val="24"/>
          <w:szCs w:val="24"/>
        </w:rPr>
        <w:t xml:space="preserve">V již citované publikace </w:t>
      </w:r>
      <w:r w:rsidRPr="000B67F1">
        <w:rPr>
          <w:rFonts w:eastAsia="Times New Roman" w:cs="Times New Roman"/>
          <w:i/>
          <w:sz w:val="24"/>
          <w:szCs w:val="24"/>
          <w:lang w:eastAsia="cs-CZ"/>
        </w:rPr>
        <w:t xml:space="preserve">Open Society Foundations </w:t>
      </w:r>
      <w:r w:rsidRPr="000B67F1">
        <w:rPr>
          <w:sz w:val="24"/>
          <w:szCs w:val="24"/>
        </w:rPr>
        <w:t xml:space="preserve">je zdůrazněna role vzdělávání a výchovy jako </w:t>
      </w:r>
      <w:r w:rsidR="000B67F1">
        <w:rPr>
          <w:sz w:val="24"/>
          <w:szCs w:val="24"/>
        </w:rPr>
        <w:t>„</w:t>
      </w:r>
      <w:r w:rsidRPr="000B67F1">
        <w:rPr>
          <w:sz w:val="24"/>
          <w:szCs w:val="24"/>
        </w:rPr>
        <w:t>impulzu pro změnu</w:t>
      </w:r>
      <w:r w:rsidR="000B67F1">
        <w:rPr>
          <w:sz w:val="24"/>
          <w:szCs w:val="24"/>
        </w:rPr>
        <w:t>“</w:t>
      </w:r>
      <w:r w:rsidRPr="000B67F1">
        <w:rPr>
          <w:sz w:val="24"/>
          <w:szCs w:val="24"/>
        </w:rPr>
        <w:t>.</w:t>
      </w:r>
    </w:p>
    <w:p w:rsidR="00327148" w:rsidRPr="000B67F1" w:rsidRDefault="00327148" w:rsidP="000B67F1">
      <w:pPr>
        <w:jc w:val="both"/>
        <w:rPr>
          <w:rFonts w:eastAsia="Times New Roman" w:cs="Times New Roman"/>
          <w:sz w:val="24"/>
          <w:szCs w:val="24"/>
          <w:lang w:eastAsia="cs-CZ"/>
        </w:rPr>
      </w:pPr>
      <w:r w:rsidRPr="000B67F1">
        <w:rPr>
          <w:rFonts w:cs="Palatino Linotype"/>
          <w:sz w:val="24"/>
          <w:szCs w:val="24"/>
        </w:rPr>
        <w:t>T</w:t>
      </w:r>
      <w:r w:rsidR="009D4642">
        <w:rPr>
          <w:rFonts w:cs="Palatino Linotype"/>
          <w:sz w:val="24"/>
          <w:szCs w:val="24"/>
        </w:rPr>
        <w:t>aké t</w:t>
      </w:r>
      <w:r w:rsidRPr="000B67F1">
        <w:rPr>
          <w:rFonts w:cs="Palatino Linotype"/>
          <w:sz w:val="24"/>
          <w:szCs w:val="24"/>
        </w:rPr>
        <w:t xml:space="preserve">yto zásady se již promítají do existující legislativy. </w:t>
      </w:r>
      <w:r w:rsidRPr="000B67F1">
        <w:rPr>
          <w:rFonts w:eastAsia="Times New Roman" w:cs="Times New Roman"/>
          <w:sz w:val="24"/>
          <w:szCs w:val="24"/>
          <w:lang w:eastAsia="cs-CZ"/>
        </w:rPr>
        <w:t xml:space="preserve">Australský stát New South Wales přijal nový zákon </w:t>
      </w:r>
      <w:r w:rsidRPr="000B67F1">
        <w:rPr>
          <w:rFonts w:eastAsia="Times New Roman" w:cs="Times New Roman"/>
          <w:i/>
          <w:sz w:val="24"/>
          <w:szCs w:val="24"/>
          <w:lang w:eastAsia="cs-CZ"/>
        </w:rPr>
        <w:t>The Crimes Amendment: Publicly Threatening and Inciting Violence Bill</w:t>
      </w:r>
      <w:r w:rsidRPr="000B67F1">
        <w:rPr>
          <w:rFonts w:eastAsia="Times New Roman" w:cs="Times New Roman"/>
          <w:sz w:val="24"/>
          <w:szCs w:val="24"/>
          <w:lang w:eastAsia="cs-CZ"/>
        </w:rPr>
        <w:t xml:space="preserve"> 2018, který kriminalizuje násilí založené na genderové identitě či sexualitě (sazba až tři roky), výslovně pak chrání intersexuály.</w:t>
      </w:r>
    </w:p>
    <w:p w:rsidR="00E63AC5" w:rsidRDefault="00327148" w:rsidP="000B67F1">
      <w:pPr>
        <w:jc w:val="both"/>
        <w:rPr>
          <w:sz w:val="24"/>
          <w:szCs w:val="24"/>
        </w:rPr>
      </w:pPr>
      <w:r w:rsidRPr="000B67F1">
        <w:rPr>
          <w:sz w:val="24"/>
          <w:szCs w:val="24"/>
        </w:rPr>
        <w:t xml:space="preserve">Švýcarská sněmovna v září zahrnula do trestního zákona </w:t>
      </w:r>
      <w:r w:rsidRPr="000B67F1">
        <w:rPr>
          <w:i/>
          <w:sz w:val="24"/>
          <w:szCs w:val="24"/>
        </w:rPr>
        <w:t xml:space="preserve">homofobii </w:t>
      </w:r>
      <w:r w:rsidRPr="000B67F1">
        <w:rPr>
          <w:sz w:val="24"/>
          <w:szCs w:val="24"/>
        </w:rPr>
        <w:t xml:space="preserve">a </w:t>
      </w:r>
      <w:r w:rsidRPr="000B67F1">
        <w:rPr>
          <w:i/>
          <w:sz w:val="24"/>
          <w:szCs w:val="24"/>
        </w:rPr>
        <w:t>transfobii</w:t>
      </w:r>
      <w:r w:rsidRPr="000B67F1">
        <w:rPr>
          <w:sz w:val="24"/>
          <w:szCs w:val="24"/>
        </w:rPr>
        <w:t xml:space="preserve"> i diskriminaci založenou na genderové identitě či sexuální orientaci (horní sazba tři roky odnětí svobody).</w:t>
      </w:r>
      <w:r w:rsidR="00B8437B" w:rsidRPr="000B67F1">
        <w:rPr>
          <w:sz w:val="24"/>
          <w:szCs w:val="24"/>
        </w:rPr>
        <w:t xml:space="preserve"> </w:t>
      </w:r>
    </w:p>
    <w:p w:rsidR="00E63AC5" w:rsidRPr="00624485" w:rsidRDefault="00E142F2" w:rsidP="000B67F1">
      <w:pPr>
        <w:jc w:val="both"/>
        <w:rPr>
          <w:rFonts w:cs="Palatino Linotype"/>
          <w:sz w:val="24"/>
          <w:szCs w:val="24"/>
        </w:rPr>
      </w:pPr>
      <w:r w:rsidRPr="00624485">
        <w:rPr>
          <w:rFonts w:cs="Palatino Linotype"/>
          <w:sz w:val="24"/>
          <w:szCs w:val="24"/>
        </w:rPr>
        <w:t xml:space="preserve">Snaha o převýchovu je tak </w:t>
      </w:r>
      <w:r w:rsidR="00B8437B" w:rsidRPr="00624485">
        <w:rPr>
          <w:rFonts w:cs="Palatino Linotype"/>
          <w:sz w:val="24"/>
          <w:szCs w:val="24"/>
        </w:rPr>
        <w:t xml:space="preserve">v tuto chvíli </w:t>
      </w:r>
      <w:r w:rsidRPr="00624485">
        <w:rPr>
          <w:rFonts w:cs="Palatino Linotype"/>
          <w:sz w:val="24"/>
          <w:szCs w:val="24"/>
        </w:rPr>
        <w:t xml:space="preserve">prozatím </w:t>
      </w:r>
      <w:r w:rsidR="00B8437B" w:rsidRPr="00624485">
        <w:rPr>
          <w:rFonts w:cs="Palatino Linotype"/>
          <w:sz w:val="24"/>
          <w:szCs w:val="24"/>
        </w:rPr>
        <w:t xml:space="preserve">ukotvena v kriminalizaci </w:t>
      </w:r>
      <w:r w:rsidR="00E63AC5" w:rsidRPr="00624485">
        <w:rPr>
          <w:rFonts w:cs="Palatino Linotype"/>
          <w:sz w:val="24"/>
          <w:szCs w:val="24"/>
        </w:rPr>
        <w:t>protigenderového sm</w:t>
      </w:r>
      <w:r w:rsidR="00262B53">
        <w:rPr>
          <w:rFonts w:cs="Palatino Linotype"/>
          <w:sz w:val="24"/>
          <w:szCs w:val="24"/>
        </w:rPr>
        <w:t>ý</w:t>
      </w:r>
      <w:r w:rsidR="00E63AC5" w:rsidRPr="00624485">
        <w:rPr>
          <w:rFonts w:cs="Palatino Linotype"/>
          <w:sz w:val="24"/>
          <w:szCs w:val="24"/>
        </w:rPr>
        <w:t xml:space="preserve">šlení </w:t>
      </w:r>
      <w:r w:rsidR="00B8437B" w:rsidRPr="00624485">
        <w:rPr>
          <w:rFonts w:cs="Palatino Linotype"/>
          <w:sz w:val="24"/>
          <w:szCs w:val="24"/>
        </w:rPr>
        <w:t xml:space="preserve">a </w:t>
      </w:r>
      <w:r w:rsidR="00E63AC5" w:rsidRPr="00624485">
        <w:rPr>
          <w:rFonts w:cs="Palatino Linotype"/>
          <w:sz w:val="24"/>
          <w:szCs w:val="24"/>
        </w:rPr>
        <w:t xml:space="preserve">„pouhého“ </w:t>
      </w:r>
      <w:r w:rsidR="00B8437B" w:rsidRPr="00624485">
        <w:rPr>
          <w:rFonts w:cs="Palatino Linotype"/>
          <w:sz w:val="24"/>
          <w:szCs w:val="24"/>
        </w:rPr>
        <w:t>odnětí svobody.</w:t>
      </w:r>
      <w:r w:rsidR="00E63AC5" w:rsidRPr="00624485">
        <w:rPr>
          <w:rFonts w:cs="Palatino Linotype"/>
          <w:sz w:val="24"/>
          <w:szCs w:val="24"/>
        </w:rPr>
        <w:t xml:space="preserve"> Příslušné zákony přitom požadují pro „genderové“ ideozločiny př</w:t>
      </w:r>
      <w:r w:rsidR="007A554E" w:rsidRPr="00624485">
        <w:rPr>
          <w:rFonts w:cs="Palatino Linotype"/>
          <w:sz w:val="24"/>
          <w:szCs w:val="24"/>
        </w:rPr>
        <w:t>í</w:t>
      </w:r>
      <w:r w:rsidR="00E63AC5" w:rsidRPr="00624485">
        <w:rPr>
          <w:rFonts w:cs="Palatino Linotype"/>
          <w:sz w:val="24"/>
          <w:szCs w:val="24"/>
        </w:rPr>
        <w:t>snější tresty než pro obdobné jednání vůči běžným heterosexuálům.</w:t>
      </w:r>
    </w:p>
    <w:p w:rsidR="003C4C47" w:rsidRDefault="003C4C47" w:rsidP="002B6554">
      <w:pPr>
        <w:jc w:val="both"/>
        <w:rPr>
          <w:rFonts w:cs="Palatino Linotype"/>
          <w:sz w:val="24"/>
          <w:szCs w:val="24"/>
        </w:rPr>
      </w:pPr>
    </w:p>
    <w:p w:rsidR="002B6554" w:rsidRPr="003E62D6" w:rsidRDefault="002B6554" w:rsidP="003E62D6">
      <w:pPr>
        <w:pStyle w:val="Odstavecseseznamem"/>
        <w:numPr>
          <w:ilvl w:val="0"/>
          <w:numId w:val="21"/>
        </w:numPr>
        <w:spacing w:after="0" w:line="240" w:lineRule="auto"/>
        <w:jc w:val="both"/>
        <w:rPr>
          <w:rFonts w:cstheme="minorHAnsi"/>
          <w:b/>
          <w:sz w:val="24"/>
          <w:szCs w:val="24"/>
        </w:rPr>
      </w:pPr>
      <w:r w:rsidRPr="003E62D6">
        <w:rPr>
          <w:rFonts w:cstheme="minorHAnsi"/>
          <w:b/>
          <w:i/>
          <w:sz w:val="24"/>
          <w:szCs w:val="24"/>
        </w:rPr>
        <w:t>Homosexuálové budou prohlášeni za nadřazenou vládnoucí třídu, vy budete patřit k podřadné výpomocné třídě a pracovat podle pokynů mocných elit, které budou určovat, co se smí a co se nesmí říkat.</w:t>
      </w:r>
    </w:p>
    <w:p w:rsidR="002B6554" w:rsidRPr="002B6554" w:rsidRDefault="002B6554" w:rsidP="002B6554">
      <w:pPr>
        <w:spacing w:after="0" w:line="240" w:lineRule="auto"/>
        <w:jc w:val="both"/>
        <w:rPr>
          <w:rFonts w:cstheme="minorHAnsi"/>
          <w:sz w:val="24"/>
          <w:szCs w:val="24"/>
        </w:rPr>
      </w:pPr>
    </w:p>
    <w:p w:rsidR="007A554E" w:rsidRDefault="00624485" w:rsidP="00624485">
      <w:pPr>
        <w:pStyle w:val="Textpoznpodarou"/>
        <w:spacing w:line="276" w:lineRule="auto"/>
        <w:jc w:val="both"/>
        <w:rPr>
          <w:sz w:val="24"/>
          <w:szCs w:val="24"/>
        </w:rPr>
      </w:pPr>
      <w:r>
        <w:rPr>
          <w:sz w:val="24"/>
          <w:szCs w:val="24"/>
        </w:rPr>
        <w:t xml:space="preserve">Bod </w:t>
      </w:r>
      <w:r w:rsidR="00D951B8">
        <w:rPr>
          <w:sz w:val="24"/>
          <w:szCs w:val="24"/>
        </w:rPr>
        <w:t>šestý</w:t>
      </w:r>
      <w:r w:rsidR="008172BE" w:rsidRPr="000B67F1">
        <w:rPr>
          <w:sz w:val="24"/>
          <w:szCs w:val="24"/>
        </w:rPr>
        <w:t xml:space="preserve"> vycház</w:t>
      </w:r>
      <w:r>
        <w:rPr>
          <w:sz w:val="24"/>
          <w:szCs w:val="24"/>
        </w:rPr>
        <w:t>í</w:t>
      </w:r>
      <w:r w:rsidR="008172BE" w:rsidRPr="000B67F1">
        <w:rPr>
          <w:sz w:val="24"/>
          <w:szCs w:val="24"/>
        </w:rPr>
        <w:t xml:space="preserve"> z textu „homosexuálního manifestu“ publikovaného Mi</w:t>
      </w:r>
      <w:r>
        <w:rPr>
          <w:sz w:val="24"/>
          <w:szCs w:val="24"/>
        </w:rPr>
        <w:t xml:space="preserve">chaelem Swiftem již v roce 1987 </w:t>
      </w:r>
      <w:r w:rsidRPr="00624485">
        <w:rPr>
          <w:sz w:val="24"/>
          <w:szCs w:val="24"/>
        </w:rPr>
        <w:t xml:space="preserve">(Swift, Michael. Gay Revolutionary. </w:t>
      </w:r>
      <w:r w:rsidRPr="00624485">
        <w:rPr>
          <w:i/>
          <w:sz w:val="24"/>
          <w:szCs w:val="24"/>
        </w:rPr>
        <w:t xml:space="preserve">Gay Community News, </w:t>
      </w:r>
      <w:r w:rsidRPr="00624485">
        <w:rPr>
          <w:sz w:val="24"/>
          <w:szCs w:val="24"/>
        </w:rPr>
        <w:t>Feb. 15–21, 1987</w:t>
      </w:r>
      <w:r>
        <w:t>.)</w:t>
      </w:r>
      <w:r>
        <w:rPr>
          <w:sz w:val="24"/>
          <w:szCs w:val="24"/>
        </w:rPr>
        <w:t xml:space="preserve"> Úvodní věta Manifestu</w:t>
      </w:r>
      <w:r w:rsidR="004D5A6F">
        <w:rPr>
          <w:sz w:val="24"/>
          <w:szCs w:val="24"/>
        </w:rPr>
        <w:t>:</w:t>
      </w:r>
      <w:r>
        <w:rPr>
          <w:sz w:val="24"/>
          <w:szCs w:val="24"/>
        </w:rPr>
        <w:t xml:space="preserve"> </w:t>
      </w:r>
      <w:r w:rsidRPr="00624485">
        <w:rPr>
          <w:i/>
          <w:sz w:val="24"/>
          <w:szCs w:val="24"/>
        </w:rPr>
        <w:t>This essay is an outré, madness, a tragic, cruel fantasy, an eruption of inner rage, on how the oppressed desperately dream of being the oppressor,</w:t>
      </w:r>
      <w:r w:rsidR="008172BE" w:rsidRPr="000B67F1">
        <w:rPr>
          <w:sz w:val="24"/>
          <w:szCs w:val="24"/>
        </w:rPr>
        <w:t xml:space="preserve"> kterou autor posouvá celou esej na úroveň neškodné fantazie o „utlačovaných, kteří se stávají utlačovateli“ je dostatečně známa. </w:t>
      </w:r>
      <w:r w:rsidR="0088161D">
        <w:rPr>
          <w:sz w:val="24"/>
          <w:szCs w:val="24"/>
        </w:rPr>
        <w:t xml:space="preserve">V současném kontextu, kdy z utopické satiry </w:t>
      </w:r>
      <w:r w:rsidR="0088161D">
        <w:rPr>
          <w:i/>
          <w:sz w:val="24"/>
          <w:szCs w:val="24"/>
        </w:rPr>
        <w:t>o snu zoufalého utiskovaného o tom, že je utiskovatelem</w:t>
      </w:r>
      <w:r w:rsidR="0088161D">
        <w:rPr>
          <w:sz w:val="24"/>
          <w:szCs w:val="24"/>
        </w:rPr>
        <w:t>, se mnohé uskutečnilo a uskutečňuje</w:t>
      </w:r>
      <w:r w:rsidR="00C0512B">
        <w:rPr>
          <w:sz w:val="24"/>
          <w:szCs w:val="24"/>
        </w:rPr>
        <w:t>, je ovšem třeba dívat se na tento text zcela jinak.</w:t>
      </w:r>
    </w:p>
    <w:p w:rsidR="00C0512B" w:rsidRDefault="00C0512B" w:rsidP="00624485">
      <w:pPr>
        <w:pStyle w:val="Textpoznpodarou"/>
        <w:spacing w:line="276" w:lineRule="auto"/>
        <w:jc w:val="both"/>
        <w:rPr>
          <w:sz w:val="24"/>
          <w:szCs w:val="24"/>
        </w:rPr>
      </w:pPr>
    </w:p>
    <w:p w:rsidR="00C0512B" w:rsidRDefault="00C0512B" w:rsidP="00624485">
      <w:pPr>
        <w:pStyle w:val="Textpoznpodarou"/>
        <w:spacing w:line="276" w:lineRule="auto"/>
        <w:jc w:val="both"/>
        <w:rPr>
          <w:sz w:val="24"/>
          <w:szCs w:val="24"/>
        </w:rPr>
      </w:pPr>
      <w:r>
        <w:rPr>
          <w:sz w:val="24"/>
          <w:szCs w:val="24"/>
        </w:rPr>
        <w:t xml:space="preserve">Swift píše: </w:t>
      </w:r>
      <w:r w:rsidRPr="00C0512B">
        <w:rPr>
          <w:i/>
          <w:sz w:val="24"/>
          <w:szCs w:val="24"/>
        </w:rPr>
        <w:t>Nejsme slaboši ze střední třídy</w:t>
      </w:r>
      <w:r w:rsidRPr="00C0512B">
        <w:rPr>
          <w:sz w:val="24"/>
          <w:szCs w:val="24"/>
        </w:rPr>
        <w:t xml:space="preserve"> (heterosexuálové – pozn. autora). </w:t>
      </w:r>
      <w:r w:rsidRPr="00C0512B">
        <w:rPr>
          <w:i/>
          <w:sz w:val="24"/>
          <w:szCs w:val="24"/>
        </w:rPr>
        <w:t>Vysoce inteligentní jsme přirozenými aristokraty lidské rasy … a s ocelovou myslí se nespokojíme s málem. Naši oponenti budou vyhoštěni.</w:t>
      </w:r>
      <w:r w:rsidRPr="00C0512B">
        <w:rPr>
          <w:sz w:val="24"/>
          <w:szCs w:val="24"/>
        </w:rPr>
        <w:t xml:space="preserve"> Protože nové zákonodárství má a musí být zavedeno v celém světě, nebude kam oponenty vyhostit.</w:t>
      </w:r>
      <w:r>
        <w:rPr>
          <w:sz w:val="24"/>
          <w:szCs w:val="24"/>
        </w:rPr>
        <w:t xml:space="preserve"> Budou tedy muset vzniknout koncentrační tábory.</w:t>
      </w:r>
    </w:p>
    <w:p w:rsidR="00C0512B" w:rsidRDefault="00C0512B" w:rsidP="00624485">
      <w:pPr>
        <w:pStyle w:val="Textpoznpodarou"/>
        <w:spacing w:line="276" w:lineRule="auto"/>
        <w:jc w:val="both"/>
        <w:rPr>
          <w:sz w:val="24"/>
          <w:szCs w:val="24"/>
        </w:rPr>
      </w:pPr>
    </w:p>
    <w:p w:rsidR="00C0512B" w:rsidRDefault="00C0512B" w:rsidP="00624485">
      <w:pPr>
        <w:pStyle w:val="Textpoznpodarou"/>
        <w:spacing w:line="276" w:lineRule="auto"/>
        <w:jc w:val="both"/>
        <w:rPr>
          <w:sz w:val="24"/>
          <w:szCs w:val="24"/>
        </w:rPr>
      </w:pPr>
      <w:r>
        <w:rPr>
          <w:sz w:val="24"/>
          <w:szCs w:val="24"/>
        </w:rPr>
        <w:t>Swift dále píše</w:t>
      </w:r>
      <w:r w:rsidRPr="00C0512B">
        <w:rPr>
          <w:sz w:val="24"/>
          <w:szCs w:val="24"/>
        </w:rPr>
        <w:t xml:space="preserve">: </w:t>
      </w:r>
      <w:r w:rsidRPr="00C0512B">
        <w:rPr>
          <w:i/>
          <w:sz w:val="24"/>
          <w:szCs w:val="24"/>
        </w:rPr>
        <w:t>Jsme všude, infiltrovali jsme vaše řady. Buďte opatrní, když mluvíte o homosexuálech, protože jsme vždy mezi vámi, sedíme u téhož stolu, spíme s vámi v jedné ložnici.</w:t>
      </w:r>
    </w:p>
    <w:p w:rsidR="00C0512B" w:rsidRDefault="00C0512B" w:rsidP="00624485">
      <w:pPr>
        <w:pStyle w:val="Textpoznpodarou"/>
        <w:spacing w:line="276" w:lineRule="auto"/>
        <w:jc w:val="both"/>
        <w:rPr>
          <w:sz w:val="24"/>
          <w:szCs w:val="24"/>
        </w:rPr>
      </w:pPr>
    </w:p>
    <w:p w:rsidR="00C0512B" w:rsidRDefault="00C0512B" w:rsidP="00624485">
      <w:pPr>
        <w:pStyle w:val="Textpoznpodarou"/>
        <w:spacing w:line="276" w:lineRule="auto"/>
        <w:jc w:val="both"/>
        <w:rPr>
          <w:sz w:val="24"/>
          <w:szCs w:val="24"/>
        </w:rPr>
      </w:pPr>
      <w:r>
        <w:rPr>
          <w:sz w:val="24"/>
          <w:szCs w:val="24"/>
        </w:rPr>
        <w:lastRenderedPageBreak/>
        <w:t xml:space="preserve">A do třetice pak říká: </w:t>
      </w:r>
      <w:r>
        <w:rPr>
          <w:i/>
          <w:sz w:val="24"/>
          <w:szCs w:val="24"/>
        </w:rPr>
        <w:t>Naším bohem je krásný mladý chlapec</w:t>
      </w:r>
      <w:r w:rsidRPr="00C0512B">
        <w:rPr>
          <w:i/>
          <w:sz w:val="24"/>
          <w:szCs w:val="24"/>
        </w:rPr>
        <w:t>… Dokonalí chlapci budou plozeni a budou vyrůstat v genetických laboratořích.</w:t>
      </w:r>
    </w:p>
    <w:p w:rsidR="00C0512B" w:rsidRDefault="00C0512B" w:rsidP="00624485">
      <w:pPr>
        <w:pStyle w:val="Textpoznpodarou"/>
        <w:spacing w:line="276" w:lineRule="auto"/>
        <w:jc w:val="both"/>
        <w:rPr>
          <w:sz w:val="24"/>
          <w:szCs w:val="24"/>
        </w:rPr>
      </w:pPr>
    </w:p>
    <w:p w:rsidR="008172BE" w:rsidRDefault="00C0512B" w:rsidP="00624485">
      <w:pPr>
        <w:pStyle w:val="Textpoznpodarou"/>
        <w:spacing w:line="276" w:lineRule="auto"/>
        <w:jc w:val="both"/>
        <w:rPr>
          <w:sz w:val="24"/>
          <w:szCs w:val="24"/>
        </w:rPr>
      </w:pPr>
      <w:r>
        <w:rPr>
          <w:sz w:val="24"/>
          <w:szCs w:val="24"/>
        </w:rPr>
        <w:t>Půl roku po Swiftovi vyšel článek Steva Warrena</w:t>
      </w:r>
      <w:r w:rsidR="00624485" w:rsidRPr="000B67F1">
        <w:rPr>
          <w:sz w:val="24"/>
          <w:szCs w:val="24"/>
        </w:rPr>
        <w:t xml:space="preserve"> </w:t>
      </w:r>
      <w:r w:rsidR="008172BE" w:rsidRPr="000B67F1">
        <w:rPr>
          <w:sz w:val="24"/>
          <w:szCs w:val="24"/>
        </w:rPr>
        <w:t>„Varování homofobům“</w:t>
      </w:r>
      <w:r w:rsidR="00624485" w:rsidRPr="00624485">
        <w:rPr>
          <w:sz w:val="24"/>
          <w:szCs w:val="24"/>
        </w:rPr>
        <w:t xml:space="preserve"> (Warren, Steve. Warning to the Homophobes. </w:t>
      </w:r>
      <w:r w:rsidR="00624485" w:rsidRPr="00624485">
        <w:rPr>
          <w:i/>
          <w:sz w:val="24"/>
          <w:szCs w:val="24"/>
        </w:rPr>
        <w:t>The Advocate</w:t>
      </w:r>
      <w:r w:rsidR="004D5A6F">
        <w:rPr>
          <w:sz w:val="24"/>
          <w:szCs w:val="24"/>
        </w:rPr>
        <w:t>, Sept. 1, 1987), kde se uvádí:</w:t>
      </w:r>
    </w:p>
    <w:p w:rsidR="00624485" w:rsidRPr="00624485" w:rsidRDefault="00624485" w:rsidP="00624485">
      <w:pPr>
        <w:pStyle w:val="Textpoznpodarou"/>
        <w:jc w:val="both"/>
      </w:pPr>
    </w:p>
    <w:p w:rsidR="008172BE" w:rsidRPr="000B67F1" w:rsidRDefault="008172BE" w:rsidP="000B67F1">
      <w:pPr>
        <w:jc w:val="both"/>
        <w:rPr>
          <w:i/>
          <w:sz w:val="24"/>
          <w:szCs w:val="24"/>
        </w:rPr>
      </w:pPr>
      <w:r w:rsidRPr="000B67F1">
        <w:rPr>
          <w:i/>
          <w:sz w:val="24"/>
          <w:szCs w:val="24"/>
        </w:rPr>
        <w:t xml:space="preserve">„1. Napříště se ve vašich kostelech a synagogách bude hovořit o homosexualitě jako </w:t>
      </w:r>
      <w:r w:rsidRPr="000B67F1">
        <w:rPr>
          <w:i/>
          <w:sz w:val="24"/>
          <w:szCs w:val="24"/>
        </w:rPr>
        <w:br/>
        <w:t xml:space="preserve">o "počestném svazku". </w:t>
      </w:r>
    </w:p>
    <w:p w:rsidR="008172BE" w:rsidRPr="000B67F1" w:rsidRDefault="008172BE" w:rsidP="000B67F1">
      <w:pPr>
        <w:jc w:val="both"/>
        <w:rPr>
          <w:i/>
          <w:sz w:val="24"/>
          <w:szCs w:val="24"/>
        </w:rPr>
      </w:pPr>
      <w:r w:rsidRPr="000B67F1">
        <w:rPr>
          <w:i/>
          <w:sz w:val="24"/>
          <w:szCs w:val="24"/>
        </w:rPr>
        <w:t xml:space="preserve">2. Buď povolíte sňatky lidí stejného pohlaví, nebo - ještě lépe - zrušíte manželství úplně. </w:t>
      </w:r>
    </w:p>
    <w:p w:rsidR="008172BE" w:rsidRPr="000B67F1" w:rsidRDefault="008172BE" w:rsidP="000B67F1">
      <w:pPr>
        <w:jc w:val="both"/>
        <w:rPr>
          <w:i/>
          <w:sz w:val="24"/>
          <w:szCs w:val="24"/>
        </w:rPr>
      </w:pPr>
      <w:r w:rsidRPr="000B67F1">
        <w:rPr>
          <w:i/>
          <w:sz w:val="24"/>
          <w:szCs w:val="24"/>
        </w:rPr>
        <w:t>3. Od vás se očekává, že nabídne</w:t>
      </w:r>
      <w:r w:rsidR="00624485">
        <w:rPr>
          <w:i/>
          <w:sz w:val="24"/>
          <w:szCs w:val="24"/>
        </w:rPr>
        <w:t>te</w:t>
      </w:r>
      <w:r w:rsidRPr="000B67F1">
        <w:rPr>
          <w:i/>
          <w:sz w:val="24"/>
          <w:szCs w:val="24"/>
        </w:rPr>
        <w:t xml:space="preserve"> obřady, které požehnají našim sexuálním svazkům</w:t>
      </w:r>
      <w:r w:rsidR="00624485">
        <w:rPr>
          <w:i/>
          <w:sz w:val="24"/>
          <w:szCs w:val="24"/>
        </w:rPr>
        <w:t>.</w:t>
      </w:r>
    </w:p>
    <w:p w:rsidR="008172BE" w:rsidRPr="000B67F1" w:rsidRDefault="008172BE" w:rsidP="000B67F1">
      <w:pPr>
        <w:jc w:val="both"/>
        <w:rPr>
          <w:i/>
          <w:sz w:val="24"/>
          <w:szCs w:val="24"/>
        </w:rPr>
      </w:pPr>
      <w:r w:rsidRPr="000B67F1">
        <w:rPr>
          <w:i/>
          <w:sz w:val="24"/>
          <w:szCs w:val="24"/>
        </w:rPr>
        <w:t>5. Zajistíte také, že…budou přijaty zákony zakazující diskriminaci vůči homosexuálům</w:t>
      </w:r>
      <w:r w:rsidR="00624485">
        <w:rPr>
          <w:i/>
          <w:sz w:val="24"/>
          <w:szCs w:val="24"/>
        </w:rPr>
        <w:t>,</w:t>
      </w:r>
      <w:r w:rsidRPr="000B67F1">
        <w:rPr>
          <w:i/>
          <w:sz w:val="24"/>
          <w:szCs w:val="24"/>
        </w:rPr>
        <w:t xml:space="preserve"> a že budou používány tvrdé tresty.</w:t>
      </w:r>
    </w:p>
    <w:p w:rsidR="008172BE" w:rsidRDefault="008172BE" w:rsidP="000B67F1">
      <w:pPr>
        <w:jc w:val="both"/>
        <w:rPr>
          <w:i/>
          <w:sz w:val="24"/>
          <w:szCs w:val="24"/>
        </w:rPr>
      </w:pPr>
      <w:r w:rsidRPr="000B67F1">
        <w:rPr>
          <w:i/>
          <w:sz w:val="24"/>
          <w:szCs w:val="24"/>
        </w:rPr>
        <w:t xml:space="preserve">Varování: Pokud všechny tyto věci nebudou rychle přijaty, vystavíme ortodoxní Židy </w:t>
      </w:r>
      <w:r w:rsidRPr="000B67F1">
        <w:rPr>
          <w:i/>
          <w:sz w:val="24"/>
          <w:szCs w:val="24"/>
        </w:rPr>
        <w:br/>
        <w:t>a křesťany nejvytrvalejší nenávisti a hanbě</w:t>
      </w:r>
      <w:r w:rsidR="00624485">
        <w:rPr>
          <w:i/>
          <w:sz w:val="24"/>
          <w:szCs w:val="24"/>
        </w:rPr>
        <w:t>,</w:t>
      </w:r>
      <w:r w:rsidRPr="000B67F1">
        <w:rPr>
          <w:i/>
          <w:sz w:val="24"/>
          <w:szCs w:val="24"/>
        </w:rPr>
        <w:t xml:space="preserve"> nejvyššímu utrpení a zneužívání za poslední dobu. Už jsme ovládli liberá</w:t>
      </w:r>
      <w:r w:rsidR="00624485">
        <w:rPr>
          <w:i/>
          <w:sz w:val="24"/>
          <w:szCs w:val="24"/>
        </w:rPr>
        <w:t>lní establishment a tisk. Už jsm</w:t>
      </w:r>
      <w:r w:rsidRPr="000B67F1">
        <w:rPr>
          <w:i/>
          <w:sz w:val="24"/>
          <w:szCs w:val="24"/>
        </w:rPr>
        <w:t>e vás porazili na řadě bojových polí…N</w:t>
      </w:r>
      <w:r w:rsidR="00624485">
        <w:rPr>
          <w:i/>
          <w:sz w:val="24"/>
          <w:szCs w:val="24"/>
        </w:rPr>
        <w:t>emáte ani víru ani sílu, abyste</w:t>
      </w:r>
      <w:r w:rsidRPr="000B67F1">
        <w:rPr>
          <w:i/>
          <w:sz w:val="24"/>
          <w:szCs w:val="24"/>
        </w:rPr>
        <w:t xml:space="preserve"> s </w:t>
      </w:r>
      <w:r w:rsidR="00624485">
        <w:rPr>
          <w:i/>
          <w:sz w:val="24"/>
          <w:szCs w:val="24"/>
        </w:rPr>
        <w:t>n</w:t>
      </w:r>
      <w:r w:rsidRPr="000B67F1">
        <w:rPr>
          <w:i/>
          <w:sz w:val="24"/>
          <w:szCs w:val="24"/>
        </w:rPr>
        <w:t>ámi bojovali, takže se můžete klidně vzdát.“</w:t>
      </w:r>
    </w:p>
    <w:p w:rsidR="008172BE" w:rsidRPr="007A554E" w:rsidRDefault="007A554E" w:rsidP="000B67F1">
      <w:pPr>
        <w:jc w:val="both"/>
        <w:rPr>
          <w:sz w:val="24"/>
          <w:szCs w:val="24"/>
        </w:rPr>
      </w:pPr>
      <w:r>
        <w:rPr>
          <w:sz w:val="24"/>
          <w:szCs w:val="24"/>
        </w:rPr>
        <w:t xml:space="preserve">Tento pocit nadřazenosti </w:t>
      </w:r>
      <w:r w:rsidR="00624485">
        <w:rPr>
          <w:sz w:val="24"/>
          <w:szCs w:val="24"/>
        </w:rPr>
        <w:t>s</w:t>
      </w:r>
      <w:r>
        <w:rPr>
          <w:sz w:val="24"/>
          <w:szCs w:val="24"/>
        </w:rPr>
        <w:t xml:space="preserve">e již promítá i do českého vzdělávacího systému. </w:t>
      </w:r>
      <w:r w:rsidR="008172BE" w:rsidRPr="000B67F1">
        <w:rPr>
          <w:rFonts w:cs="Times New Roman"/>
          <w:sz w:val="24"/>
          <w:szCs w:val="24"/>
        </w:rPr>
        <w:t>V roce 2007</w:t>
      </w:r>
      <w:r>
        <w:rPr>
          <w:rFonts w:cs="Times New Roman"/>
          <w:sz w:val="24"/>
          <w:szCs w:val="24"/>
        </w:rPr>
        <w:t xml:space="preserve"> např. </w:t>
      </w:r>
      <w:r w:rsidR="008172BE" w:rsidRPr="000B67F1">
        <w:rPr>
          <w:rFonts w:cs="Times New Roman"/>
          <w:sz w:val="24"/>
          <w:szCs w:val="24"/>
        </w:rPr>
        <w:t xml:space="preserve">vydal kolektiv autorů pod vedením Ireny Smetáčkové </w:t>
      </w:r>
      <w:r w:rsidR="008172BE" w:rsidRPr="000B67F1">
        <w:rPr>
          <w:rFonts w:cs="Times New Roman"/>
          <w:i/>
          <w:sz w:val="24"/>
          <w:szCs w:val="24"/>
        </w:rPr>
        <w:t>Příručku pro genderově citlivé výchovné poradenství</w:t>
      </w:r>
      <w:r w:rsidR="00A4351E">
        <w:rPr>
          <w:rFonts w:cs="Times New Roman"/>
          <w:sz w:val="24"/>
          <w:szCs w:val="24"/>
        </w:rPr>
        <w:t>, kde stojí:</w:t>
      </w:r>
    </w:p>
    <w:p w:rsidR="007A3DE7" w:rsidRPr="000B67F1" w:rsidRDefault="008172BE" w:rsidP="000B67F1">
      <w:pPr>
        <w:jc w:val="both"/>
        <w:rPr>
          <w:rFonts w:cs="Times New Roman"/>
          <w:sz w:val="24"/>
          <w:szCs w:val="24"/>
        </w:rPr>
      </w:pPr>
      <w:r w:rsidRPr="000B67F1">
        <w:rPr>
          <w:rFonts w:cs="Times New Roman"/>
          <w:i/>
          <w:sz w:val="24"/>
          <w:szCs w:val="24"/>
        </w:rPr>
        <w:t>Prozatím velký dluh mají školy vůči žákyním a žákům s homosexuální orientací…</w:t>
      </w:r>
      <w:r w:rsidR="00A4351E">
        <w:rPr>
          <w:rFonts w:cs="Times New Roman"/>
          <w:i/>
          <w:sz w:val="24"/>
          <w:szCs w:val="24"/>
        </w:rPr>
        <w:t xml:space="preserve"> </w:t>
      </w:r>
      <w:r w:rsidRPr="000B67F1">
        <w:rPr>
          <w:rFonts w:cs="Times New Roman"/>
          <w:i/>
          <w:sz w:val="24"/>
          <w:szCs w:val="24"/>
        </w:rPr>
        <w:t xml:space="preserve">Heterosexualita jako by byla obsažena úplně ve všem. Vyučující by měli být schopni homosexualitu prezentovat jako </w:t>
      </w:r>
      <w:r w:rsidRPr="007A554E">
        <w:rPr>
          <w:rFonts w:cs="Times New Roman"/>
          <w:b/>
          <w:i/>
          <w:sz w:val="24"/>
          <w:szCs w:val="24"/>
        </w:rPr>
        <w:t>obdivuhodnou rozmanitost lidské společnosti</w:t>
      </w:r>
      <w:r w:rsidRPr="000B67F1">
        <w:rPr>
          <w:rFonts w:cs="Times New Roman"/>
          <w:i/>
          <w:sz w:val="24"/>
          <w:szCs w:val="24"/>
        </w:rPr>
        <w:t>, nikoli</w:t>
      </w:r>
      <w:r w:rsidR="00A4351E">
        <w:rPr>
          <w:rFonts w:cs="Times New Roman"/>
          <w:i/>
          <w:sz w:val="24"/>
          <w:szCs w:val="24"/>
        </w:rPr>
        <w:t xml:space="preserve"> jako</w:t>
      </w:r>
      <w:r w:rsidRPr="000B67F1">
        <w:rPr>
          <w:rFonts w:cs="Times New Roman"/>
          <w:i/>
          <w:sz w:val="24"/>
          <w:szCs w:val="24"/>
        </w:rPr>
        <w:t xml:space="preserve"> sice tolerovatelnou, ale podivnou odchylku od normy.“ </w:t>
      </w:r>
      <w:r w:rsidRPr="000B67F1">
        <w:rPr>
          <w:rFonts w:cs="Times New Roman"/>
          <w:sz w:val="24"/>
          <w:szCs w:val="24"/>
        </w:rPr>
        <w:t xml:space="preserve">Obdivuhodnou rozmanitost lidské společnosti mohou učitelé vhodně uchopit pomocí tematicky zaměřených projektů jako je například </w:t>
      </w:r>
      <w:r w:rsidRPr="000B67F1">
        <w:rPr>
          <w:rFonts w:cs="Times New Roman"/>
          <w:i/>
          <w:sz w:val="24"/>
          <w:szCs w:val="24"/>
        </w:rPr>
        <w:t>„Měsíc gay a lesbické historie“</w:t>
      </w:r>
    </w:p>
    <w:p w:rsidR="00D00400" w:rsidRDefault="00D00400" w:rsidP="002B6554">
      <w:pPr>
        <w:jc w:val="both"/>
        <w:rPr>
          <w:sz w:val="24"/>
          <w:szCs w:val="24"/>
        </w:rPr>
      </w:pPr>
    </w:p>
    <w:p w:rsidR="002B6554" w:rsidRPr="003E62D6" w:rsidRDefault="002B6554" w:rsidP="003E62D6">
      <w:pPr>
        <w:pStyle w:val="Odstavecseseznamem"/>
        <w:numPr>
          <w:ilvl w:val="0"/>
          <w:numId w:val="21"/>
        </w:numPr>
        <w:spacing w:after="0" w:line="240" w:lineRule="auto"/>
        <w:jc w:val="both"/>
        <w:rPr>
          <w:rFonts w:cstheme="minorHAnsi"/>
          <w:b/>
          <w:sz w:val="24"/>
          <w:szCs w:val="24"/>
        </w:rPr>
      </w:pPr>
      <w:r w:rsidRPr="003E62D6">
        <w:rPr>
          <w:rFonts w:cstheme="minorHAnsi"/>
          <w:b/>
          <w:i/>
          <w:sz w:val="24"/>
          <w:szCs w:val="24"/>
        </w:rPr>
        <w:t>Budete postaveni pod všechny živočichy, kteří se pohlavně rozmnožují, protože pro kočky, žáby ani hmyz zaváděné zákony neplatí.</w:t>
      </w:r>
    </w:p>
    <w:p w:rsidR="002B6554" w:rsidRPr="002B6554" w:rsidRDefault="002B6554" w:rsidP="002B6554">
      <w:pPr>
        <w:spacing w:after="0" w:line="240" w:lineRule="auto"/>
        <w:jc w:val="both"/>
        <w:rPr>
          <w:sz w:val="24"/>
          <w:szCs w:val="24"/>
        </w:rPr>
      </w:pPr>
      <w:bookmarkStart w:id="0" w:name="_GoBack"/>
      <w:bookmarkEnd w:id="0"/>
    </w:p>
    <w:p w:rsidR="002C2CEF" w:rsidRDefault="00A4351E" w:rsidP="000B67F1">
      <w:pPr>
        <w:jc w:val="both"/>
        <w:rPr>
          <w:sz w:val="24"/>
          <w:szCs w:val="24"/>
        </w:rPr>
      </w:pPr>
      <w:r>
        <w:rPr>
          <w:sz w:val="24"/>
          <w:szCs w:val="24"/>
        </w:rPr>
        <w:t>Sedmý,</w:t>
      </w:r>
      <w:r w:rsidR="00A035A0" w:rsidRPr="000B67F1">
        <w:rPr>
          <w:sz w:val="24"/>
          <w:szCs w:val="24"/>
        </w:rPr>
        <w:t xml:space="preserve"> závěrečný bod kázání byl plně opodstatněn, neboť logick</w:t>
      </w:r>
      <w:r>
        <w:rPr>
          <w:sz w:val="24"/>
          <w:szCs w:val="24"/>
        </w:rPr>
        <w:t>y vyplývá ze všeho předchozího.</w:t>
      </w:r>
    </w:p>
    <w:p w:rsidR="00A4351E" w:rsidRDefault="00A4351E" w:rsidP="00A4351E">
      <w:pPr>
        <w:jc w:val="both"/>
        <w:rPr>
          <w:rFonts w:cs="Palatino Linotype"/>
          <w:sz w:val="24"/>
          <w:szCs w:val="24"/>
        </w:rPr>
      </w:pPr>
      <w:r w:rsidRPr="000B67F1">
        <w:rPr>
          <w:sz w:val="24"/>
          <w:szCs w:val="24"/>
        </w:rPr>
        <w:t xml:space="preserve">Kromě </w:t>
      </w:r>
      <w:r>
        <w:rPr>
          <w:sz w:val="24"/>
          <w:szCs w:val="24"/>
        </w:rPr>
        <w:t xml:space="preserve">uvedených sedmi </w:t>
      </w:r>
      <w:r w:rsidRPr="000B67F1">
        <w:rPr>
          <w:sz w:val="24"/>
          <w:szCs w:val="24"/>
        </w:rPr>
        <w:t xml:space="preserve">bodů prolamuje Istanbulská úmluva článkem 28 profesní tajemství, neboť </w:t>
      </w:r>
      <w:r w:rsidRPr="000B67F1">
        <w:rPr>
          <w:rFonts w:cs="Palatino Linotype"/>
          <w:sz w:val="24"/>
          <w:szCs w:val="24"/>
        </w:rPr>
        <w:t xml:space="preserve">požaduje, aby </w:t>
      </w:r>
      <w:r w:rsidRPr="000B67F1">
        <w:rPr>
          <w:rFonts w:cs="Palatino Linotype"/>
          <w:i/>
          <w:sz w:val="24"/>
          <w:szCs w:val="24"/>
        </w:rPr>
        <w:t>„pravidla důvěrnosti vyplývající ze zákonů dané země nebránila pracovníkům určitých profesí ohlásit kompetentním organizacím či úřadům, že mají důvodné podezření</w:t>
      </w:r>
      <w:r>
        <w:rPr>
          <w:rFonts w:cs="Palatino Linotype"/>
          <w:i/>
          <w:sz w:val="24"/>
          <w:szCs w:val="24"/>
        </w:rPr>
        <w:t>,</w:t>
      </w:r>
      <w:r w:rsidRPr="000B67F1">
        <w:rPr>
          <w:rFonts w:cs="Palatino Linotype"/>
          <w:i/>
          <w:sz w:val="24"/>
          <w:szCs w:val="24"/>
        </w:rPr>
        <w:t xml:space="preserve"> že došlo ke spáchání závažného násilného činu, spadajícího do působnosti této úmluvy, a lze do budoucna očekávat, že budou spáchány další závažné násilné činy.“</w:t>
      </w:r>
      <w:r w:rsidRPr="000B67F1">
        <w:rPr>
          <w:rFonts w:cs="Palatino Linotype"/>
          <w:sz w:val="24"/>
          <w:szCs w:val="24"/>
        </w:rPr>
        <w:t xml:space="preserve"> Podle </w:t>
      </w:r>
      <w:r w:rsidRPr="000B67F1">
        <w:rPr>
          <w:rFonts w:cs="Palatino Linotype"/>
          <w:sz w:val="24"/>
          <w:szCs w:val="24"/>
        </w:rPr>
        <w:lastRenderedPageBreak/>
        <w:t>komentáře se jedná o prolomení tajemství např. lékařů a psychiatrů, v extenzivním výkladu také advokátů či kněží.</w:t>
      </w:r>
    </w:p>
    <w:p w:rsidR="004D5A6F" w:rsidRDefault="004D5A6F" w:rsidP="00D40007">
      <w:pPr>
        <w:jc w:val="both"/>
        <w:rPr>
          <w:sz w:val="24"/>
          <w:szCs w:val="24"/>
        </w:rPr>
      </w:pPr>
    </w:p>
    <w:p w:rsidR="00D40007" w:rsidRDefault="00A4351E" w:rsidP="00D40007">
      <w:pPr>
        <w:jc w:val="both"/>
        <w:rPr>
          <w:sz w:val="24"/>
          <w:szCs w:val="24"/>
        </w:rPr>
      </w:pPr>
      <w:r>
        <w:rPr>
          <w:sz w:val="24"/>
          <w:szCs w:val="24"/>
        </w:rPr>
        <w:t>Závěrem chci</w:t>
      </w:r>
      <w:r w:rsidR="00D40007" w:rsidRPr="000B67F1">
        <w:rPr>
          <w:sz w:val="24"/>
          <w:szCs w:val="24"/>
        </w:rPr>
        <w:t xml:space="preserve"> zdůraznit, že </w:t>
      </w:r>
      <w:r>
        <w:rPr>
          <w:sz w:val="24"/>
          <w:szCs w:val="24"/>
        </w:rPr>
        <w:t xml:space="preserve">moje </w:t>
      </w:r>
      <w:r w:rsidR="00D40007" w:rsidRPr="000B67F1">
        <w:rPr>
          <w:sz w:val="24"/>
          <w:szCs w:val="24"/>
        </w:rPr>
        <w:t xml:space="preserve">kritika Istanbulské úmluvy není </w:t>
      </w:r>
      <w:r>
        <w:rPr>
          <w:sz w:val="24"/>
          <w:szCs w:val="24"/>
        </w:rPr>
        <w:t>odmítnutím</w:t>
      </w:r>
      <w:r w:rsidR="00D40007" w:rsidRPr="000B67F1">
        <w:rPr>
          <w:sz w:val="24"/>
          <w:szCs w:val="24"/>
        </w:rPr>
        <w:t xml:space="preserve"> boje proti násilí na ženách a dětech, ani bojem proti zajištění důstojného života homosexuálů</w:t>
      </w:r>
      <w:r w:rsidR="00D40007">
        <w:rPr>
          <w:sz w:val="24"/>
          <w:szCs w:val="24"/>
        </w:rPr>
        <w:t xml:space="preserve">, </w:t>
      </w:r>
      <w:r w:rsidR="00AB6636">
        <w:rPr>
          <w:sz w:val="24"/>
          <w:szCs w:val="24"/>
        </w:rPr>
        <w:t>nýbrž</w:t>
      </w:r>
      <w:r w:rsidR="00D40007">
        <w:rPr>
          <w:sz w:val="24"/>
          <w:szCs w:val="24"/>
        </w:rPr>
        <w:t xml:space="preserve"> snahou </w:t>
      </w:r>
      <w:r w:rsidR="00AB6636">
        <w:rPr>
          <w:sz w:val="24"/>
          <w:szCs w:val="24"/>
        </w:rPr>
        <w:br/>
      </w:r>
      <w:r w:rsidR="00D40007">
        <w:rPr>
          <w:sz w:val="24"/>
          <w:szCs w:val="24"/>
        </w:rPr>
        <w:t>o udržení výlučnosti rodiny, ochrany práv dítěte</w:t>
      </w:r>
      <w:r>
        <w:rPr>
          <w:sz w:val="24"/>
          <w:szCs w:val="24"/>
        </w:rPr>
        <w:t>, obranou člověka před jeho degradací a společnosti před jejím rozvratem a zachování práva na svobodu projevu a svobodu vyznání a možnosti svobodného fungování církve v České republice</w:t>
      </w:r>
      <w:r w:rsidRPr="000B67F1">
        <w:rPr>
          <w:sz w:val="24"/>
          <w:szCs w:val="24"/>
        </w:rPr>
        <w:t>.</w:t>
      </w:r>
      <w:r>
        <w:rPr>
          <w:sz w:val="24"/>
          <w:szCs w:val="24"/>
        </w:rPr>
        <w:t xml:space="preserve"> Konstatuji dále, že vše, co je opravdu potřebné, je v našem právním řádu již zakotveno.</w:t>
      </w:r>
      <w:r w:rsidR="00D40007" w:rsidRPr="000B67F1">
        <w:rPr>
          <w:sz w:val="24"/>
          <w:szCs w:val="24"/>
        </w:rPr>
        <w:t xml:space="preserve"> </w:t>
      </w:r>
    </w:p>
    <w:p w:rsidR="00D40007" w:rsidRPr="000B67F1" w:rsidRDefault="00D40007" w:rsidP="000B67F1">
      <w:pPr>
        <w:jc w:val="both"/>
        <w:rPr>
          <w:sz w:val="24"/>
          <w:szCs w:val="24"/>
        </w:rPr>
      </w:pPr>
    </w:p>
    <w:p w:rsidR="00A035A0" w:rsidRPr="000B67F1" w:rsidRDefault="00A035A0" w:rsidP="000B67F1">
      <w:pPr>
        <w:rPr>
          <w:rFonts w:eastAsia="Times New Roman" w:cs="Times New Roman"/>
          <w:sz w:val="24"/>
          <w:szCs w:val="24"/>
          <w:lang w:eastAsia="cs-CZ"/>
        </w:rPr>
      </w:pPr>
    </w:p>
    <w:sectPr w:rsidR="00A035A0" w:rsidRPr="000B67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44" w:rsidRDefault="00E71644" w:rsidP="002C2CEF">
      <w:pPr>
        <w:spacing w:after="0" w:line="240" w:lineRule="auto"/>
      </w:pPr>
      <w:r>
        <w:separator/>
      </w:r>
    </w:p>
  </w:endnote>
  <w:endnote w:type="continuationSeparator" w:id="0">
    <w:p w:rsidR="00E71644" w:rsidRDefault="00E71644" w:rsidP="002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C Square Sans Pro">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Palatino Linotype">
    <w:altName w:val="Palatino"/>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28071"/>
      <w:docPartObj>
        <w:docPartGallery w:val="Page Numbers (Bottom of Page)"/>
        <w:docPartUnique/>
      </w:docPartObj>
    </w:sdtPr>
    <w:sdtEndPr/>
    <w:sdtContent>
      <w:p w:rsidR="000D0976" w:rsidRDefault="000D0976">
        <w:pPr>
          <w:pStyle w:val="Zpat"/>
          <w:jc w:val="center"/>
        </w:pPr>
        <w:r>
          <w:fldChar w:fldCharType="begin"/>
        </w:r>
        <w:r>
          <w:instrText>PAGE   \* MERGEFORMAT</w:instrText>
        </w:r>
        <w:r>
          <w:fldChar w:fldCharType="separate"/>
        </w:r>
        <w:r w:rsidR="003E62D6">
          <w:rPr>
            <w:noProof/>
          </w:rPr>
          <w:t>7</w:t>
        </w:r>
        <w:r>
          <w:fldChar w:fldCharType="end"/>
        </w:r>
      </w:p>
    </w:sdtContent>
  </w:sdt>
  <w:p w:rsidR="000D0976" w:rsidRDefault="000D0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44" w:rsidRDefault="00E71644" w:rsidP="002C2CEF">
      <w:pPr>
        <w:spacing w:after="0" w:line="240" w:lineRule="auto"/>
      </w:pPr>
      <w:r>
        <w:separator/>
      </w:r>
    </w:p>
  </w:footnote>
  <w:footnote w:type="continuationSeparator" w:id="0">
    <w:p w:rsidR="00E71644" w:rsidRDefault="00E71644" w:rsidP="002C2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129"/>
    <w:multiLevelType w:val="hybridMultilevel"/>
    <w:tmpl w:val="9574ECA0"/>
    <w:lvl w:ilvl="0" w:tplc="FB94E68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F5E67"/>
    <w:multiLevelType w:val="hybridMultilevel"/>
    <w:tmpl w:val="BD90EE64"/>
    <w:lvl w:ilvl="0" w:tplc="FB94E682">
      <w:numFmt w:val="bullet"/>
      <w:lvlText w:val=""/>
      <w:lvlJc w:val="left"/>
      <w:pPr>
        <w:ind w:left="360" w:hanging="360"/>
      </w:pPr>
      <w:rPr>
        <w:rFonts w:ascii="Symbol" w:eastAsiaTheme="minorHAnsi" w:hAnsi="Symbol"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9D11D57"/>
    <w:multiLevelType w:val="hybridMultilevel"/>
    <w:tmpl w:val="8CBCAA18"/>
    <w:lvl w:ilvl="0" w:tplc="FB94E68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EC458A"/>
    <w:multiLevelType w:val="hybridMultilevel"/>
    <w:tmpl w:val="844CF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372DD1"/>
    <w:multiLevelType w:val="hybridMultilevel"/>
    <w:tmpl w:val="BE6A59C2"/>
    <w:lvl w:ilvl="0" w:tplc="A6A6AB66">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081715"/>
    <w:multiLevelType w:val="hybridMultilevel"/>
    <w:tmpl w:val="8ED648CA"/>
    <w:lvl w:ilvl="0" w:tplc="A6A6AB66">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EA2270"/>
    <w:multiLevelType w:val="hybridMultilevel"/>
    <w:tmpl w:val="844CF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8C0D54"/>
    <w:multiLevelType w:val="hybridMultilevel"/>
    <w:tmpl w:val="0D386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906D3C"/>
    <w:multiLevelType w:val="hybridMultilevel"/>
    <w:tmpl w:val="844CF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1A3425"/>
    <w:multiLevelType w:val="hybridMultilevel"/>
    <w:tmpl w:val="686A1278"/>
    <w:lvl w:ilvl="0" w:tplc="A6A6AB66">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795DF7"/>
    <w:multiLevelType w:val="hybridMultilevel"/>
    <w:tmpl w:val="844CF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794FDF"/>
    <w:multiLevelType w:val="hybridMultilevel"/>
    <w:tmpl w:val="E06E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DB5F5A"/>
    <w:multiLevelType w:val="hybridMultilevel"/>
    <w:tmpl w:val="950EA65E"/>
    <w:lvl w:ilvl="0" w:tplc="13D8B2F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E50493"/>
    <w:multiLevelType w:val="hybridMultilevel"/>
    <w:tmpl w:val="6232A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004C28"/>
    <w:multiLevelType w:val="hybridMultilevel"/>
    <w:tmpl w:val="A1E0BF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C96C8E"/>
    <w:multiLevelType w:val="hybridMultilevel"/>
    <w:tmpl w:val="B0E26A4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6" w15:restartNumberingAfterBreak="0">
    <w:nsid w:val="70D27B76"/>
    <w:multiLevelType w:val="hybridMultilevel"/>
    <w:tmpl w:val="624A09B2"/>
    <w:lvl w:ilvl="0" w:tplc="FB94E682">
      <w:numFmt w:val="bullet"/>
      <w:lvlText w:val=""/>
      <w:lvlJc w:val="left"/>
      <w:pPr>
        <w:ind w:left="360" w:hanging="360"/>
      </w:pPr>
      <w:rPr>
        <w:rFonts w:ascii="Symbol" w:eastAsiaTheme="minorHAnsi" w:hAnsi="Symbol"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9766AD2"/>
    <w:multiLevelType w:val="hybridMultilevel"/>
    <w:tmpl w:val="584AAA28"/>
    <w:lvl w:ilvl="0" w:tplc="FB94E682">
      <w:numFmt w:val="bullet"/>
      <w:lvlText w:val=""/>
      <w:lvlJc w:val="left"/>
      <w:pPr>
        <w:ind w:left="360" w:hanging="360"/>
      </w:pPr>
      <w:rPr>
        <w:rFonts w:ascii="Symbol" w:eastAsiaTheme="minorHAnsi" w:hAnsi="Symbol"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DA86E3F"/>
    <w:multiLevelType w:val="hybridMultilevel"/>
    <w:tmpl w:val="880E2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ED37E4"/>
    <w:multiLevelType w:val="hybridMultilevel"/>
    <w:tmpl w:val="B6E2B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DD0F3F"/>
    <w:multiLevelType w:val="hybridMultilevel"/>
    <w:tmpl w:val="F6689F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14"/>
  </w:num>
  <w:num w:numId="5">
    <w:abstractNumId w:val="4"/>
  </w:num>
  <w:num w:numId="6">
    <w:abstractNumId w:val="9"/>
  </w:num>
  <w:num w:numId="7">
    <w:abstractNumId w:val="5"/>
  </w:num>
  <w:num w:numId="8">
    <w:abstractNumId w:val="10"/>
  </w:num>
  <w:num w:numId="9">
    <w:abstractNumId w:val="6"/>
  </w:num>
  <w:num w:numId="10">
    <w:abstractNumId w:val="11"/>
  </w:num>
  <w:num w:numId="11">
    <w:abstractNumId w:val="12"/>
  </w:num>
  <w:num w:numId="12">
    <w:abstractNumId w:val="18"/>
  </w:num>
  <w:num w:numId="13">
    <w:abstractNumId w:val="20"/>
  </w:num>
  <w:num w:numId="14">
    <w:abstractNumId w:val="15"/>
  </w:num>
  <w:num w:numId="15">
    <w:abstractNumId w:val="7"/>
  </w:num>
  <w:num w:numId="16">
    <w:abstractNumId w:val="0"/>
  </w:num>
  <w:num w:numId="17">
    <w:abstractNumId w:val="2"/>
  </w:num>
  <w:num w:numId="18">
    <w:abstractNumId w:val="19"/>
  </w:num>
  <w:num w:numId="19">
    <w:abstractNumId w:val="16"/>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19"/>
    <w:rsid w:val="00046E69"/>
    <w:rsid w:val="000B67F1"/>
    <w:rsid w:val="000C2BD6"/>
    <w:rsid w:val="000C393E"/>
    <w:rsid w:val="000D0976"/>
    <w:rsid w:val="000D64B2"/>
    <w:rsid w:val="000E7CDA"/>
    <w:rsid w:val="00172D97"/>
    <w:rsid w:val="001B75E4"/>
    <w:rsid w:val="001D24EC"/>
    <w:rsid w:val="00262B53"/>
    <w:rsid w:val="00267B84"/>
    <w:rsid w:val="002A6997"/>
    <w:rsid w:val="002B6554"/>
    <w:rsid w:val="002C2CEF"/>
    <w:rsid w:val="002E4CA6"/>
    <w:rsid w:val="00320994"/>
    <w:rsid w:val="00327148"/>
    <w:rsid w:val="00350D0A"/>
    <w:rsid w:val="003C4C47"/>
    <w:rsid w:val="003E62D6"/>
    <w:rsid w:val="003F51F4"/>
    <w:rsid w:val="00466587"/>
    <w:rsid w:val="004834B1"/>
    <w:rsid w:val="004B7065"/>
    <w:rsid w:val="004D5A6F"/>
    <w:rsid w:val="004D6561"/>
    <w:rsid w:val="00607FC9"/>
    <w:rsid w:val="00624485"/>
    <w:rsid w:val="00652E5C"/>
    <w:rsid w:val="006623D1"/>
    <w:rsid w:val="006742F7"/>
    <w:rsid w:val="00677F19"/>
    <w:rsid w:val="006B64AE"/>
    <w:rsid w:val="0070306E"/>
    <w:rsid w:val="00730810"/>
    <w:rsid w:val="00745066"/>
    <w:rsid w:val="00746D10"/>
    <w:rsid w:val="00770EBC"/>
    <w:rsid w:val="007A3DE7"/>
    <w:rsid w:val="007A554E"/>
    <w:rsid w:val="00814CD8"/>
    <w:rsid w:val="008172BE"/>
    <w:rsid w:val="0082281E"/>
    <w:rsid w:val="0088161D"/>
    <w:rsid w:val="008B690F"/>
    <w:rsid w:val="00903056"/>
    <w:rsid w:val="00903C92"/>
    <w:rsid w:val="00930B1A"/>
    <w:rsid w:val="009B6441"/>
    <w:rsid w:val="009D4642"/>
    <w:rsid w:val="00A035A0"/>
    <w:rsid w:val="00A35EFD"/>
    <w:rsid w:val="00A4351E"/>
    <w:rsid w:val="00A4717E"/>
    <w:rsid w:val="00A51A9F"/>
    <w:rsid w:val="00A87585"/>
    <w:rsid w:val="00AB6636"/>
    <w:rsid w:val="00AC0852"/>
    <w:rsid w:val="00AE3DE0"/>
    <w:rsid w:val="00B4220A"/>
    <w:rsid w:val="00B8437B"/>
    <w:rsid w:val="00BB1535"/>
    <w:rsid w:val="00BC0162"/>
    <w:rsid w:val="00BF6243"/>
    <w:rsid w:val="00C0512B"/>
    <w:rsid w:val="00C05E33"/>
    <w:rsid w:val="00C81BA3"/>
    <w:rsid w:val="00CA521F"/>
    <w:rsid w:val="00D00400"/>
    <w:rsid w:val="00D143FF"/>
    <w:rsid w:val="00D172AA"/>
    <w:rsid w:val="00D40007"/>
    <w:rsid w:val="00D801EB"/>
    <w:rsid w:val="00D951B8"/>
    <w:rsid w:val="00DA332D"/>
    <w:rsid w:val="00E142F2"/>
    <w:rsid w:val="00E444D1"/>
    <w:rsid w:val="00E56EE1"/>
    <w:rsid w:val="00E63AC5"/>
    <w:rsid w:val="00E71644"/>
    <w:rsid w:val="00E94E7E"/>
    <w:rsid w:val="00EA6D68"/>
    <w:rsid w:val="00ED7B1D"/>
    <w:rsid w:val="00FA6D4E"/>
    <w:rsid w:val="00FB5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C70F3-6309-4702-A3FA-EC636E9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77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930B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7F19"/>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C2CEF"/>
    <w:pPr>
      <w:ind w:left="720"/>
      <w:contextualSpacing/>
    </w:pPr>
  </w:style>
  <w:style w:type="paragraph" w:styleId="Textpoznpodarou">
    <w:name w:val="footnote text"/>
    <w:aliases w:val="Footnote Text Char1 Char Char,Footnote Text Char2 Char Char Char,Footnote Text Char1 Char Char Char Char,Footnote Text Char Char Char Char Char Char,Footnote Text Char Char,Fußnotentextf,Note de bas de page Car Car Car Car,ft,fußn,o"/>
    <w:basedOn w:val="Normln"/>
    <w:link w:val="TextpoznpodarouChar"/>
    <w:uiPriority w:val="99"/>
    <w:unhideWhenUsed/>
    <w:qFormat/>
    <w:rsid w:val="002C2CEF"/>
    <w:pPr>
      <w:spacing w:after="0" w:line="240" w:lineRule="auto"/>
    </w:pPr>
    <w:rPr>
      <w:sz w:val="20"/>
      <w:szCs w:val="20"/>
    </w:rPr>
  </w:style>
  <w:style w:type="character" w:customStyle="1" w:styleId="TextpoznpodarouChar">
    <w:name w:val="Text pozn. pod čarou Char"/>
    <w:aliases w:val="Footnote Text Char1 Char Char Char,Footnote Text Char2 Char Char Char Char,Footnote Text Char1 Char Char Char Char Char,Footnote Text Char Char Char Char Char Char Char,Footnote Text Char Char Char,Fußnotentextf Char,ft Char"/>
    <w:basedOn w:val="Standardnpsmoodstavce"/>
    <w:link w:val="Textpoznpodarou"/>
    <w:uiPriority w:val="99"/>
    <w:rsid w:val="002C2CEF"/>
    <w:rPr>
      <w:sz w:val="20"/>
      <w:szCs w:val="20"/>
    </w:rPr>
  </w:style>
  <w:style w:type="character" w:styleId="Znakapoznpodarou">
    <w:name w:val="footnote reference"/>
    <w:aliases w:val="Footnote Reference Superscript,BVI fnr,Footnote symbol, BVI fnr,SUPERS,(Footnote Reference),Footnote,Voetnootverwijzing,Times 10 Point,Exposant 3 Point,Footnote reference number,note TESI,Odwołanie przypisu,Footnotemark,FR,Nota"/>
    <w:basedOn w:val="Standardnpsmoodstavce"/>
    <w:uiPriority w:val="99"/>
    <w:unhideWhenUsed/>
    <w:qFormat/>
    <w:rsid w:val="002C2CEF"/>
    <w:rPr>
      <w:vertAlign w:val="superscript"/>
    </w:rPr>
  </w:style>
  <w:style w:type="character" w:customStyle="1" w:styleId="hbodytext">
    <w:name w:val="h_body_text"/>
    <w:basedOn w:val="Standardnpsmoodstavce"/>
    <w:rsid w:val="002C2CEF"/>
  </w:style>
  <w:style w:type="character" w:customStyle="1" w:styleId="s1">
    <w:name w:val="s1"/>
    <w:basedOn w:val="Standardnpsmoodstavce"/>
    <w:rsid w:val="0070306E"/>
  </w:style>
  <w:style w:type="character" w:customStyle="1" w:styleId="Nadpis3Char">
    <w:name w:val="Nadpis 3 Char"/>
    <w:basedOn w:val="Standardnpsmoodstavce"/>
    <w:link w:val="Nadpis3"/>
    <w:uiPriority w:val="9"/>
    <w:rsid w:val="00930B1A"/>
    <w:rPr>
      <w:rFonts w:asciiTheme="majorHAnsi" w:eastAsiaTheme="majorEastAsia" w:hAnsiTheme="majorHAnsi" w:cstheme="majorBidi"/>
      <w:b/>
      <w:bCs/>
      <w:color w:val="4F81BD" w:themeColor="accent1"/>
    </w:rPr>
  </w:style>
  <w:style w:type="paragraph" w:styleId="Normlnweb">
    <w:name w:val="Normal (Web)"/>
    <w:basedOn w:val="Normln"/>
    <w:uiPriority w:val="99"/>
    <w:unhideWhenUsed/>
    <w:rsid w:val="00930B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2E4CA6"/>
    <w:pPr>
      <w:autoSpaceDE w:val="0"/>
      <w:autoSpaceDN w:val="0"/>
      <w:adjustRightInd w:val="0"/>
      <w:spacing w:after="0" w:line="240" w:lineRule="auto"/>
    </w:pPr>
    <w:rPr>
      <w:rFonts w:ascii="EC Square Sans Pro" w:eastAsia="Calibri" w:hAnsi="EC Square Sans Pro" w:cs="EC Square Sans Pro"/>
      <w:color w:val="000000"/>
      <w:sz w:val="24"/>
      <w:szCs w:val="24"/>
      <w:lang w:eastAsia="cs-CZ"/>
    </w:rPr>
  </w:style>
  <w:style w:type="character" w:styleId="Hypertextovodkaz">
    <w:name w:val="Hyperlink"/>
    <w:basedOn w:val="Standardnpsmoodstavce"/>
    <w:uiPriority w:val="99"/>
    <w:unhideWhenUsed/>
    <w:rsid w:val="008172BE"/>
    <w:rPr>
      <w:color w:val="0000FF" w:themeColor="hyperlink"/>
      <w:u w:val="single"/>
    </w:rPr>
  </w:style>
  <w:style w:type="paragraph" w:styleId="Zhlav">
    <w:name w:val="header"/>
    <w:basedOn w:val="Normln"/>
    <w:link w:val="ZhlavChar"/>
    <w:uiPriority w:val="99"/>
    <w:unhideWhenUsed/>
    <w:rsid w:val="000D09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0976"/>
  </w:style>
  <w:style w:type="paragraph" w:styleId="Zpat">
    <w:name w:val="footer"/>
    <w:basedOn w:val="Normln"/>
    <w:link w:val="ZpatChar"/>
    <w:uiPriority w:val="99"/>
    <w:unhideWhenUsed/>
    <w:rsid w:val="000D097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976"/>
  </w:style>
  <w:style w:type="paragraph" w:styleId="Textbubliny">
    <w:name w:val="Balloon Text"/>
    <w:basedOn w:val="Normln"/>
    <w:link w:val="TextbublinyChar"/>
    <w:uiPriority w:val="99"/>
    <w:semiHidden/>
    <w:unhideWhenUsed/>
    <w:rsid w:val="00D9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5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strategy-en-2018-2023/16807b58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28B615-38BC-43D1-87D5-A8E1F536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2406</Words>
  <Characters>14196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Lipovská Hana</dc:creator>
  <cp:lastModifiedBy>Katerina</cp:lastModifiedBy>
  <cp:revision>3</cp:revision>
  <cp:lastPrinted>2018-11-14T19:45:00Z</cp:lastPrinted>
  <dcterms:created xsi:type="dcterms:W3CDTF">2018-11-17T11:25:00Z</dcterms:created>
  <dcterms:modified xsi:type="dcterms:W3CDTF">2018-11-17T12:35:00Z</dcterms:modified>
</cp:coreProperties>
</file>